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1AED" w14:textId="77777777" w:rsidR="005F6B93" w:rsidRPr="00DA569A" w:rsidRDefault="005F6B93" w:rsidP="00DA5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</w:p>
    <w:p w14:paraId="3E183C8E" w14:textId="77777777" w:rsid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0" w:name="_gjdgxs" w:colFirst="0" w:colLast="0"/>
      <w:bookmarkEnd w:id="0"/>
    </w:p>
    <w:p w14:paraId="2ACF443D" w14:textId="04B0EAEC" w:rsidR="007D361E" w:rsidRDefault="007D361E" w:rsidP="001D6FF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DA569A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</w:p>
    <w:p w14:paraId="3D7E9A8E" w14:textId="77777777" w:rsidR="00DA2822" w:rsidRDefault="00DA2822" w:rsidP="001D6FF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737F390E" w14:textId="54F2C29A" w:rsidR="00DA2822" w:rsidRPr="00DA2822" w:rsidRDefault="00DA2822" w:rsidP="001D6FF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A282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COMMERCIALISTI: DALLA CASSAZIONE SENTENZA IMPORTANTE SULL’ABUSIVISMO PROFESSIONALE</w:t>
      </w:r>
    </w:p>
    <w:p w14:paraId="28352DAC" w14:textId="77777777" w:rsidR="00DA2822" w:rsidRPr="00DA2822" w:rsidRDefault="00DA2822" w:rsidP="001D6FF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7347070" w14:textId="4898835D" w:rsidR="00DA2822" w:rsidRPr="00DA2822" w:rsidRDefault="00DA2822" w:rsidP="001D6FF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A282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De Nuccio</w:t>
      </w:r>
      <w:r w:rsidR="00CB7FB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DA282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“Il nostro Consiglio nazionale verificherà i casi </w:t>
      </w:r>
      <w:r w:rsidR="008C3A06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segnalatici</w:t>
      </w:r>
      <w:r w:rsidRPr="00DA282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 tutt</w:t>
      </w:r>
      <w:r w:rsidR="00CB7FB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DA282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Italia. Al lavoro con un pool di legali”</w:t>
      </w:r>
    </w:p>
    <w:p w14:paraId="4C1DF781" w14:textId="77777777" w:rsidR="0004465B" w:rsidRPr="00DA2822" w:rsidRDefault="0004465B" w:rsidP="001D6FF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D4DB6FB" w14:textId="2FBD6460" w:rsidR="00DA2822" w:rsidRPr="00DA2822" w:rsidRDefault="00DA2822" w:rsidP="001D6FF9">
      <w:pPr>
        <w:jc w:val="both"/>
        <w:rPr>
          <w:rFonts w:ascii="Arial" w:hAnsi="Arial" w:cs="Arial"/>
          <w:sz w:val="24"/>
          <w:szCs w:val="24"/>
        </w:rPr>
      </w:pPr>
      <w:r w:rsidRPr="001D6FF9">
        <w:rPr>
          <w:rFonts w:ascii="Arial" w:hAnsi="Arial" w:cs="Arial"/>
          <w:i/>
          <w:iCs/>
          <w:sz w:val="24"/>
          <w:szCs w:val="24"/>
        </w:rPr>
        <w:t>Roma, 22 novembre 2023 –</w:t>
      </w:r>
      <w:r>
        <w:rPr>
          <w:rFonts w:ascii="Arial" w:hAnsi="Arial" w:cs="Arial"/>
          <w:sz w:val="24"/>
          <w:szCs w:val="24"/>
        </w:rPr>
        <w:t xml:space="preserve"> “Una </w:t>
      </w:r>
      <w:r w:rsidRPr="008C3A06">
        <w:rPr>
          <w:rFonts w:ascii="Arial" w:hAnsi="Arial" w:cs="Arial"/>
          <w:b/>
          <w:bCs/>
          <w:sz w:val="24"/>
          <w:szCs w:val="24"/>
        </w:rPr>
        <w:t>sentenza importante</w:t>
      </w:r>
      <w:r>
        <w:rPr>
          <w:rFonts w:ascii="Arial" w:hAnsi="Arial" w:cs="Arial"/>
          <w:sz w:val="24"/>
          <w:szCs w:val="24"/>
        </w:rPr>
        <w:t xml:space="preserve"> e</w:t>
      </w:r>
      <w:r w:rsidR="00CB7FB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Pr="008C3A06">
        <w:rPr>
          <w:rFonts w:ascii="Arial" w:hAnsi="Arial" w:cs="Arial"/>
          <w:b/>
          <w:bCs/>
          <w:sz w:val="24"/>
          <w:szCs w:val="24"/>
        </w:rPr>
        <w:t>estremamente chiara</w:t>
      </w:r>
      <w:r>
        <w:rPr>
          <w:rFonts w:ascii="Arial" w:hAnsi="Arial" w:cs="Arial"/>
          <w:sz w:val="24"/>
          <w:szCs w:val="24"/>
        </w:rPr>
        <w:t xml:space="preserve"> sul concetto di </w:t>
      </w:r>
      <w:r w:rsidRPr="008C3A06">
        <w:rPr>
          <w:rFonts w:ascii="Arial" w:hAnsi="Arial" w:cs="Arial"/>
          <w:b/>
          <w:bCs/>
          <w:sz w:val="24"/>
          <w:szCs w:val="24"/>
        </w:rPr>
        <w:t>esercizio abusivo della professione di commercialista</w:t>
      </w:r>
      <w:r>
        <w:rPr>
          <w:rFonts w:ascii="Arial" w:hAnsi="Arial" w:cs="Arial"/>
          <w:sz w:val="24"/>
          <w:szCs w:val="24"/>
        </w:rPr>
        <w:t xml:space="preserve">, di cui far tesoro nella nostra azione di vigilanza su questo tema”. È il commento del presidente del Consiglio nazionale dei commercialisti, </w:t>
      </w:r>
      <w:r w:rsidRPr="008C3A06">
        <w:rPr>
          <w:rFonts w:ascii="Arial" w:hAnsi="Arial" w:cs="Arial"/>
          <w:b/>
          <w:bCs/>
          <w:sz w:val="24"/>
          <w:szCs w:val="24"/>
        </w:rPr>
        <w:t>Elbano de Nuccio</w:t>
      </w:r>
      <w:r>
        <w:rPr>
          <w:rFonts w:ascii="Arial" w:hAnsi="Arial" w:cs="Arial"/>
          <w:sz w:val="24"/>
          <w:szCs w:val="24"/>
        </w:rPr>
        <w:t xml:space="preserve">, alla sentenza della </w:t>
      </w:r>
      <w:r w:rsidRPr="008C3A06">
        <w:rPr>
          <w:rFonts w:ascii="Arial" w:hAnsi="Arial" w:cs="Arial"/>
          <w:b/>
          <w:bCs/>
          <w:sz w:val="24"/>
          <w:szCs w:val="24"/>
        </w:rPr>
        <w:t>Corte di cassazione n. 4673/23</w:t>
      </w:r>
      <w:r>
        <w:rPr>
          <w:rFonts w:ascii="Arial" w:hAnsi="Arial" w:cs="Arial"/>
          <w:sz w:val="24"/>
          <w:szCs w:val="24"/>
        </w:rPr>
        <w:t>,</w:t>
      </w:r>
      <w:r w:rsidRPr="00DA2822">
        <w:rPr>
          <w:rFonts w:ascii="Arial" w:hAnsi="Arial" w:cs="Arial"/>
          <w:sz w:val="24"/>
          <w:szCs w:val="24"/>
        </w:rPr>
        <w:t xml:space="preserve"> depositata </w:t>
      </w:r>
      <w:r>
        <w:rPr>
          <w:rFonts w:ascii="Arial" w:hAnsi="Arial" w:cs="Arial"/>
          <w:sz w:val="24"/>
          <w:szCs w:val="24"/>
        </w:rPr>
        <w:t xml:space="preserve">il </w:t>
      </w:r>
      <w:r w:rsidRPr="00DA2822">
        <w:rPr>
          <w:rFonts w:ascii="Arial" w:hAnsi="Arial" w:cs="Arial"/>
          <w:sz w:val="24"/>
          <w:szCs w:val="24"/>
        </w:rPr>
        <w:t>21 nov</w:t>
      </w:r>
      <w:r>
        <w:rPr>
          <w:rFonts w:ascii="Arial" w:hAnsi="Arial" w:cs="Arial"/>
          <w:sz w:val="24"/>
          <w:szCs w:val="24"/>
        </w:rPr>
        <w:t>embre, che</w:t>
      </w:r>
      <w:r w:rsidRPr="00DA2822">
        <w:rPr>
          <w:rFonts w:ascii="Arial" w:hAnsi="Arial" w:cs="Arial"/>
          <w:sz w:val="24"/>
          <w:szCs w:val="24"/>
        </w:rPr>
        <w:t xml:space="preserve"> ha stabilito che la tenuta dei registri contabili e la redazione </w:t>
      </w:r>
      <w:r w:rsidR="00CB7FB2" w:rsidRPr="00DA2822">
        <w:rPr>
          <w:rFonts w:ascii="Arial" w:hAnsi="Arial" w:cs="Arial"/>
          <w:sz w:val="24"/>
          <w:szCs w:val="24"/>
        </w:rPr>
        <w:t>delle dichiarazioni</w:t>
      </w:r>
      <w:r w:rsidRPr="00DA2822">
        <w:rPr>
          <w:rFonts w:ascii="Arial" w:hAnsi="Arial" w:cs="Arial"/>
          <w:sz w:val="24"/>
          <w:szCs w:val="24"/>
        </w:rPr>
        <w:t xml:space="preserve"> dei redditi, </w:t>
      </w:r>
      <w:r w:rsidRPr="008C3A06">
        <w:rPr>
          <w:rFonts w:ascii="Arial" w:hAnsi="Arial" w:cs="Arial"/>
          <w:b/>
          <w:bCs/>
          <w:sz w:val="24"/>
          <w:szCs w:val="24"/>
        </w:rPr>
        <w:t>senza la prescritta abilitazione</w:t>
      </w:r>
      <w:r w:rsidRPr="00DA2822">
        <w:rPr>
          <w:rFonts w:ascii="Arial" w:hAnsi="Arial" w:cs="Arial"/>
          <w:sz w:val="24"/>
          <w:szCs w:val="24"/>
        </w:rPr>
        <w:t>, comporta</w:t>
      </w:r>
      <w:r w:rsidR="00CB7FB2">
        <w:rPr>
          <w:rFonts w:ascii="Arial" w:hAnsi="Arial" w:cs="Arial"/>
          <w:sz w:val="24"/>
          <w:szCs w:val="24"/>
        </w:rPr>
        <w:t>no</w:t>
      </w:r>
      <w:r w:rsidRPr="00DA2822">
        <w:rPr>
          <w:rFonts w:ascii="Arial" w:hAnsi="Arial" w:cs="Arial"/>
          <w:sz w:val="24"/>
          <w:szCs w:val="24"/>
        </w:rPr>
        <w:t xml:space="preserve"> la </w:t>
      </w:r>
      <w:r w:rsidRPr="008C3A06">
        <w:rPr>
          <w:rFonts w:ascii="Arial" w:hAnsi="Arial" w:cs="Arial"/>
          <w:b/>
          <w:bCs/>
          <w:sz w:val="24"/>
          <w:szCs w:val="24"/>
        </w:rPr>
        <w:t xml:space="preserve">condanna </w:t>
      </w:r>
      <w:r w:rsidRPr="00DA2822">
        <w:rPr>
          <w:rFonts w:ascii="Arial" w:hAnsi="Arial" w:cs="Arial"/>
          <w:sz w:val="24"/>
          <w:szCs w:val="24"/>
        </w:rPr>
        <w:t>per esercizio abusivo della professione</w:t>
      </w:r>
      <w:r>
        <w:rPr>
          <w:rFonts w:ascii="Arial" w:hAnsi="Arial" w:cs="Arial"/>
          <w:sz w:val="24"/>
          <w:szCs w:val="24"/>
        </w:rPr>
        <w:t xml:space="preserve">. </w:t>
      </w:r>
      <w:r w:rsidRPr="00DA2822">
        <w:rPr>
          <w:rFonts w:ascii="Arial" w:hAnsi="Arial" w:cs="Arial"/>
          <w:sz w:val="24"/>
          <w:szCs w:val="24"/>
        </w:rPr>
        <w:t>Secondo i giudici, il compimento senza titolo di atti che, pur non attribuiti singolarmente in via esclusiva a</w:t>
      </w:r>
      <w:r w:rsidR="00CB7FB2">
        <w:rPr>
          <w:rFonts w:ascii="Arial" w:hAnsi="Arial" w:cs="Arial"/>
          <w:sz w:val="24"/>
          <w:szCs w:val="24"/>
        </w:rPr>
        <w:t>d</w:t>
      </w:r>
      <w:r w:rsidRPr="00DA2822">
        <w:rPr>
          <w:rFonts w:ascii="Arial" w:hAnsi="Arial" w:cs="Arial"/>
          <w:sz w:val="24"/>
          <w:szCs w:val="24"/>
        </w:rPr>
        <w:t xml:space="preserve"> una determinata professione, siano univocamente individuati come di competenza specifica di essa, allorché lo stesso compimento venga realizzato con modalità tali, per </w:t>
      </w:r>
      <w:proofErr w:type="spellStart"/>
      <w:r w:rsidRPr="00DA2822">
        <w:rPr>
          <w:rFonts w:ascii="Arial" w:hAnsi="Arial" w:cs="Arial"/>
          <w:sz w:val="24"/>
          <w:szCs w:val="24"/>
        </w:rPr>
        <w:t>continuatività</w:t>
      </w:r>
      <w:proofErr w:type="spellEnd"/>
      <w:r w:rsidRPr="00DA2822">
        <w:rPr>
          <w:rFonts w:ascii="Arial" w:hAnsi="Arial" w:cs="Arial"/>
          <w:sz w:val="24"/>
          <w:szCs w:val="24"/>
        </w:rPr>
        <w:t xml:space="preserve">, onerosità e organizzazione, da creare, in assenza di chiare indicazioni diverse, le </w:t>
      </w:r>
      <w:r w:rsidRPr="008C3A06">
        <w:rPr>
          <w:rFonts w:ascii="Arial" w:hAnsi="Arial" w:cs="Arial"/>
          <w:b/>
          <w:bCs/>
          <w:sz w:val="24"/>
          <w:szCs w:val="24"/>
        </w:rPr>
        <w:t>oggettive apparenze</w:t>
      </w:r>
      <w:r w:rsidRPr="00DA2822">
        <w:rPr>
          <w:rFonts w:ascii="Arial" w:hAnsi="Arial" w:cs="Arial"/>
          <w:sz w:val="24"/>
          <w:szCs w:val="24"/>
        </w:rPr>
        <w:t xml:space="preserve"> di un</w:t>
      </w:r>
      <w:r w:rsidR="00CB7FB2">
        <w:rPr>
          <w:rFonts w:ascii="Arial" w:hAnsi="Arial" w:cs="Arial"/>
          <w:sz w:val="24"/>
          <w:szCs w:val="24"/>
        </w:rPr>
        <w:t>’</w:t>
      </w:r>
      <w:r w:rsidRPr="00DA2822">
        <w:rPr>
          <w:rFonts w:ascii="Arial" w:hAnsi="Arial" w:cs="Arial"/>
          <w:sz w:val="24"/>
          <w:szCs w:val="24"/>
        </w:rPr>
        <w:t xml:space="preserve">attività professionale svolta da soggetto regolarmente abilitato, costituisce </w:t>
      </w:r>
      <w:r w:rsidRPr="008C3A06">
        <w:rPr>
          <w:rFonts w:ascii="Arial" w:hAnsi="Arial" w:cs="Arial"/>
          <w:b/>
          <w:bCs/>
          <w:sz w:val="24"/>
          <w:szCs w:val="24"/>
        </w:rPr>
        <w:t>reato</w:t>
      </w:r>
      <w:r w:rsidRPr="00DA2822">
        <w:rPr>
          <w:rFonts w:ascii="Arial" w:hAnsi="Arial" w:cs="Arial"/>
          <w:sz w:val="24"/>
          <w:szCs w:val="24"/>
        </w:rPr>
        <w:t>.</w:t>
      </w:r>
    </w:p>
    <w:p w14:paraId="325D81CE" w14:textId="77777777" w:rsidR="001D6FF9" w:rsidRDefault="001D6FF9" w:rsidP="001D6FF9">
      <w:pPr>
        <w:jc w:val="both"/>
        <w:rPr>
          <w:rFonts w:ascii="Arial" w:hAnsi="Arial" w:cs="Arial"/>
          <w:sz w:val="24"/>
          <w:szCs w:val="24"/>
        </w:rPr>
      </w:pPr>
    </w:p>
    <w:p w14:paraId="2078BB58" w14:textId="1B987B42" w:rsidR="00DA2822" w:rsidRPr="00DA2822" w:rsidRDefault="001D6FF9" w:rsidP="001D6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“Quanto stabilito ieri dalla Cassazione</w:t>
      </w:r>
      <w:r w:rsidR="00056B39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aggiunge de Nuccio</w:t>
      </w:r>
      <w:r w:rsidR="00056B39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ci conforta nella lotta </w:t>
      </w:r>
      <w:r w:rsidRPr="00DA2822">
        <w:rPr>
          <w:rFonts w:ascii="Arial" w:hAnsi="Arial" w:cs="Arial"/>
          <w:sz w:val="24"/>
          <w:szCs w:val="24"/>
        </w:rPr>
        <w:t>all’annoso problema dell’abusivismo professionale</w:t>
      </w:r>
      <w:r>
        <w:rPr>
          <w:rFonts w:ascii="Arial" w:hAnsi="Arial" w:cs="Arial"/>
          <w:sz w:val="24"/>
          <w:szCs w:val="24"/>
        </w:rPr>
        <w:t xml:space="preserve"> che il Consiglio nazionale </w:t>
      </w:r>
      <w:r w:rsidR="00DA2822" w:rsidRPr="00DA2822">
        <w:rPr>
          <w:rFonts w:ascii="Arial" w:hAnsi="Arial" w:cs="Arial"/>
          <w:sz w:val="24"/>
          <w:szCs w:val="24"/>
        </w:rPr>
        <w:t>sta portando avanti con impegno e dedizione.</w:t>
      </w:r>
      <w:r>
        <w:rPr>
          <w:rFonts w:ascii="Arial" w:hAnsi="Arial" w:cs="Arial"/>
          <w:sz w:val="24"/>
          <w:szCs w:val="24"/>
        </w:rPr>
        <w:t xml:space="preserve"> Nostro ruolo è anche </w:t>
      </w:r>
      <w:r w:rsidR="00DA2822" w:rsidRPr="00DA2822">
        <w:rPr>
          <w:rFonts w:ascii="Arial" w:hAnsi="Arial" w:cs="Arial"/>
          <w:sz w:val="24"/>
          <w:szCs w:val="24"/>
        </w:rPr>
        <w:t xml:space="preserve">quello di </w:t>
      </w:r>
      <w:r w:rsidR="00DA2822" w:rsidRPr="008C3A06">
        <w:rPr>
          <w:rFonts w:ascii="Arial" w:hAnsi="Arial" w:cs="Arial"/>
          <w:b/>
          <w:bCs/>
          <w:sz w:val="24"/>
          <w:szCs w:val="24"/>
        </w:rPr>
        <w:t>vigilare e di segnalare</w:t>
      </w:r>
      <w:r w:rsidR="00DA2822" w:rsidRPr="00DA2822">
        <w:rPr>
          <w:rFonts w:ascii="Arial" w:hAnsi="Arial" w:cs="Arial"/>
          <w:sz w:val="24"/>
          <w:szCs w:val="24"/>
        </w:rPr>
        <w:t xml:space="preserve"> alle autorità competenti i casi </w:t>
      </w:r>
      <w:r w:rsidR="008C3A06" w:rsidRPr="00DA2822">
        <w:rPr>
          <w:rFonts w:ascii="Arial" w:hAnsi="Arial" w:cs="Arial"/>
          <w:sz w:val="24"/>
          <w:szCs w:val="24"/>
        </w:rPr>
        <w:t>individuati</w:t>
      </w:r>
      <w:r w:rsidR="008C3A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esercizio abusivo della professione </w:t>
      </w:r>
      <w:r w:rsidR="00DA2822" w:rsidRPr="00DA2822">
        <w:rPr>
          <w:rFonts w:ascii="Arial" w:hAnsi="Arial" w:cs="Arial"/>
          <w:sz w:val="24"/>
          <w:szCs w:val="24"/>
        </w:rPr>
        <w:t>individuati. Le segnalazioni devono essere circostanziate e documentate, in modo da consentire una valutazione adeguata dei comportamenti contestati.</w:t>
      </w:r>
      <w:r>
        <w:rPr>
          <w:rFonts w:ascii="Arial" w:hAnsi="Arial" w:cs="Arial"/>
          <w:sz w:val="24"/>
          <w:szCs w:val="24"/>
        </w:rPr>
        <w:t xml:space="preserve"> Questo Consiglio nazionale ha deciso che le</w:t>
      </w:r>
      <w:r w:rsidR="00DA2822" w:rsidRPr="00DA2822">
        <w:rPr>
          <w:rFonts w:ascii="Arial" w:hAnsi="Arial" w:cs="Arial"/>
          <w:sz w:val="24"/>
          <w:szCs w:val="24"/>
        </w:rPr>
        <w:t xml:space="preserve"> segnalazion</w:t>
      </w:r>
      <w:r>
        <w:rPr>
          <w:rFonts w:ascii="Arial" w:hAnsi="Arial" w:cs="Arial"/>
          <w:sz w:val="24"/>
          <w:szCs w:val="24"/>
        </w:rPr>
        <w:t>i che ci giungono</w:t>
      </w:r>
      <w:r w:rsidR="00DA2822" w:rsidRPr="00DA2822">
        <w:rPr>
          <w:rFonts w:ascii="Arial" w:hAnsi="Arial" w:cs="Arial"/>
          <w:sz w:val="24"/>
          <w:szCs w:val="24"/>
        </w:rPr>
        <w:t xml:space="preserve"> da tutto il territorio </w:t>
      </w:r>
      <w:r>
        <w:rPr>
          <w:rFonts w:ascii="Arial" w:hAnsi="Arial" w:cs="Arial"/>
          <w:sz w:val="24"/>
          <w:szCs w:val="24"/>
        </w:rPr>
        <w:t>nazionale</w:t>
      </w:r>
      <w:r w:rsidR="00DA2822" w:rsidRPr="00DA2822">
        <w:rPr>
          <w:rFonts w:ascii="Arial" w:hAnsi="Arial" w:cs="Arial"/>
          <w:sz w:val="24"/>
          <w:szCs w:val="24"/>
        </w:rPr>
        <w:t xml:space="preserve"> verranno prese in carico </w:t>
      </w:r>
      <w:r>
        <w:rPr>
          <w:rFonts w:ascii="Arial" w:hAnsi="Arial" w:cs="Arial"/>
          <w:sz w:val="24"/>
          <w:szCs w:val="24"/>
        </w:rPr>
        <w:t xml:space="preserve">e verificate </w:t>
      </w:r>
      <w:r w:rsidR="00DA2822" w:rsidRPr="00DA2822">
        <w:rPr>
          <w:rFonts w:ascii="Arial" w:hAnsi="Arial" w:cs="Arial"/>
          <w:sz w:val="24"/>
          <w:szCs w:val="24"/>
        </w:rPr>
        <w:t xml:space="preserve">da </w:t>
      </w:r>
      <w:r w:rsidR="00DA2822" w:rsidRPr="008C3A06">
        <w:rPr>
          <w:rFonts w:ascii="Arial" w:hAnsi="Arial" w:cs="Arial"/>
          <w:b/>
          <w:bCs/>
          <w:sz w:val="24"/>
          <w:szCs w:val="24"/>
        </w:rPr>
        <w:t>un gruppo di lavoro interno</w:t>
      </w:r>
      <w:r w:rsidR="00DA2822" w:rsidRPr="00DA28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appositamente</w:t>
      </w:r>
      <w:r w:rsidR="00DA2822" w:rsidRPr="00DA2822">
        <w:rPr>
          <w:rFonts w:ascii="Arial" w:hAnsi="Arial" w:cs="Arial"/>
          <w:sz w:val="24"/>
          <w:szCs w:val="24"/>
        </w:rPr>
        <w:t xml:space="preserve"> istituito, di cui fa parte anche un </w:t>
      </w:r>
      <w:r w:rsidR="00DA2822" w:rsidRPr="008C3A06">
        <w:rPr>
          <w:rFonts w:ascii="Arial" w:hAnsi="Arial" w:cs="Arial"/>
          <w:b/>
          <w:bCs/>
          <w:sz w:val="24"/>
          <w:szCs w:val="24"/>
        </w:rPr>
        <w:t>pool di legali</w:t>
      </w:r>
      <w:r>
        <w:rPr>
          <w:rFonts w:ascii="Arial" w:hAnsi="Arial" w:cs="Arial"/>
          <w:sz w:val="24"/>
          <w:szCs w:val="24"/>
        </w:rPr>
        <w:t>”</w:t>
      </w:r>
      <w:r w:rsidR="00DA2822" w:rsidRPr="00DA28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“</w:t>
      </w:r>
      <w:r w:rsidR="00DA2822" w:rsidRPr="00DA2822">
        <w:rPr>
          <w:rFonts w:ascii="Arial" w:hAnsi="Arial" w:cs="Arial"/>
          <w:sz w:val="24"/>
          <w:szCs w:val="24"/>
        </w:rPr>
        <w:t>Questa attività</w:t>
      </w:r>
      <w:r w:rsidR="00056B39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prosegue</w:t>
      </w:r>
      <w:r w:rsidR="00056B39">
        <w:rPr>
          <w:rFonts w:ascii="Arial" w:hAnsi="Arial" w:cs="Arial"/>
          <w:sz w:val="24"/>
          <w:szCs w:val="24"/>
        </w:rPr>
        <w:t xml:space="preserve"> –, </w:t>
      </w:r>
      <w:r w:rsidR="00DA2822" w:rsidRPr="00DA2822">
        <w:rPr>
          <w:rFonts w:ascii="Arial" w:hAnsi="Arial" w:cs="Arial"/>
          <w:sz w:val="24"/>
          <w:szCs w:val="24"/>
        </w:rPr>
        <w:t xml:space="preserve">svolta con il supporto dell’Ufficio Legale </w:t>
      </w:r>
      <w:r>
        <w:rPr>
          <w:rFonts w:ascii="Arial" w:hAnsi="Arial" w:cs="Arial"/>
          <w:sz w:val="24"/>
          <w:szCs w:val="24"/>
        </w:rPr>
        <w:t xml:space="preserve">del Consiglio nazionale, ci </w:t>
      </w:r>
      <w:r w:rsidR="00DA2822" w:rsidRPr="00DA2822">
        <w:rPr>
          <w:rFonts w:ascii="Arial" w:hAnsi="Arial" w:cs="Arial"/>
          <w:sz w:val="24"/>
          <w:szCs w:val="24"/>
        </w:rPr>
        <w:t>consent</w:t>
      </w:r>
      <w:r>
        <w:rPr>
          <w:rFonts w:ascii="Arial" w:hAnsi="Arial" w:cs="Arial"/>
          <w:sz w:val="24"/>
          <w:szCs w:val="24"/>
        </w:rPr>
        <w:t>irà</w:t>
      </w:r>
      <w:r w:rsidR="00DA2822" w:rsidRPr="00DA28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 effettuare un</w:t>
      </w:r>
      <w:r w:rsidR="00DA2822" w:rsidRPr="00DA2822">
        <w:rPr>
          <w:rFonts w:ascii="Arial" w:hAnsi="Arial" w:cs="Arial"/>
          <w:sz w:val="24"/>
          <w:szCs w:val="24"/>
        </w:rPr>
        <w:t xml:space="preserve"> monitoraggio </w:t>
      </w:r>
      <w:r>
        <w:rPr>
          <w:rFonts w:ascii="Arial" w:hAnsi="Arial" w:cs="Arial"/>
          <w:sz w:val="24"/>
          <w:szCs w:val="24"/>
        </w:rPr>
        <w:t xml:space="preserve">puntuale </w:t>
      </w:r>
      <w:r w:rsidR="00DA2822" w:rsidRPr="00DA2822">
        <w:rPr>
          <w:rFonts w:ascii="Arial" w:hAnsi="Arial" w:cs="Arial"/>
          <w:sz w:val="24"/>
          <w:szCs w:val="24"/>
        </w:rPr>
        <w:t>delle diverse tipologie di esercizio abusivo e la loro consistenza sul territorio nazional</w:t>
      </w:r>
      <w:r>
        <w:rPr>
          <w:rFonts w:ascii="Arial" w:hAnsi="Arial" w:cs="Arial"/>
          <w:sz w:val="24"/>
          <w:szCs w:val="24"/>
        </w:rPr>
        <w:t>e”.</w:t>
      </w:r>
    </w:p>
    <w:p w14:paraId="52B7F117" w14:textId="77777777" w:rsidR="00DA2822" w:rsidRPr="00DA2822" w:rsidRDefault="00DA2822" w:rsidP="001D6FF9">
      <w:pPr>
        <w:jc w:val="both"/>
        <w:rPr>
          <w:rFonts w:ascii="Arial" w:hAnsi="Arial" w:cs="Arial"/>
          <w:sz w:val="24"/>
          <w:szCs w:val="24"/>
        </w:rPr>
      </w:pPr>
    </w:p>
    <w:p w14:paraId="75A8DC30" w14:textId="5039469F" w:rsidR="00DA2822" w:rsidRPr="00DA2822" w:rsidRDefault="001D6FF9" w:rsidP="001D6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numero uno dei commercialisti sottolinea come “l</w:t>
      </w:r>
      <w:r w:rsidR="00DA2822" w:rsidRPr="00DA2822">
        <w:rPr>
          <w:rFonts w:ascii="Arial" w:hAnsi="Arial" w:cs="Arial"/>
          <w:sz w:val="24"/>
          <w:szCs w:val="24"/>
        </w:rPr>
        <w:t xml:space="preserve">’impegno </w:t>
      </w:r>
      <w:r>
        <w:rPr>
          <w:rFonts w:ascii="Arial" w:hAnsi="Arial" w:cs="Arial"/>
          <w:sz w:val="24"/>
          <w:szCs w:val="24"/>
        </w:rPr>
        <w:t>per la</w:t>
      </w:r>
      <w:r w:rsidR="00DA2822" w:rsidRPr="00DA2822">
        <w:rPr>
          <w:rFonts w:ascii="Arial" w:hAnsi="Arial" w:cs="Arial"/>
          <w:sz w:val="24"/>
          <w:szCs w:val="24"/>
        </w:rPr>
        <w:t xml:space="preserve"> </w:t>
      </w:r>
      <w:r w:rsidR="00DA2822" w:rsidRPr="008C3A06">
        <w:rPr>
          <w:rFonts w:ascii="Arial" w:hAnsi="Arial" w:cs="Arial"/>
          <w:b/>
          <w:bCs/>
          <w:sz w:val="24"/>
          <w:szCs w:val="24"/>
        </w:rPr>
        <w:t>valorizzazione della professione</w:t>
      </w:r>
      <w:r w:rsidR="00DA2822" w:rsidRPr="00DA28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viene portato avanti dal Consiglio nazionale anche partecipando a</w:t>
      </w:r>
      <w:r w:rsidR="00DA2822" w:rsidRPr="00DA2822">
        <w:rPr>
          <w:rFonts w:ascii="Arial" w:hAnsi="Arial" w:cs="Arial"/>
          <w:sz w:val="24"/>
          <w:szCs w:val="24"/>
        </w:rPr>
        <w:t xml:space="preserve"> numerosi </w:t>
      </w:r>
      <w:r w:rsidR="00DA2822" w:rsidRPr="008C3A06">
        <w:rPr>
          <w:rFonts w:ascii="Arial" w:hAnsi="Arial" w:cs="Arial"/>
          <w:b/>
          <w:bCs/>
          <w:sz w:val="24"/>
          <w:szCs w:val="24"/>
        </w:rPr>
        <w:t>tavoli di lavoro</w:t>
      </w:r>
      <w:r w:rsidR="00DA2822" w:rsidRPr="00DA2822">
        <w:rPr>
          <w:rFonts w:ascii="Arial" w:hAnsi="Arial" w:cs="Arial"/>
          <w:sz w:val="24"/>
          <w:szCs w:val="24"/>
        </w:rPr>
        <w:t xml:space="preserve"> con Ministero</w:t>
      </w:r>
      <w:r w:rsidR="006B3E5B">
        <w:rPr>
          <w:rFonts w:ascii="Arial" w:hAnsi="Arial" w:cs="Arial"/>
          <w:sz w:val="24"/>
          <w:szCs w:val="24"/>
        </w:rPr>
        <w:t xml:space="preserve"> delle imprese e del made in Italy</w:t>
      </w:r>
      <w:r w:rsidR="00DA2822" w:rsidRPr="00DA2822">
        <w:rPr>
          <w:rFonts w:ascii="Arial" w:hAnsi="Arial" w:cs="Arial"/>
          <w:sz w:val="24"/>
          <w:szCs w:val="24"/>
        </w:rPr>
        <w:t>, Ministero dell’Università</w:t>
      </w:r>
      <w:r>
        <w:rPr>
          <w:rFonts w:ascii="Arial" w:hAnsi="Arial" w:cs="Arial"/>
          <w:sz w:val="24"/>
          <w:szCs w:val="24"/>
        </w:rPr>
        <w:t>, dell’Economia</w:t>
      </w:r>
      <w:r w:rsidR="00DA2822" w:rsidRPr="00DA2822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della Giustizia </w:t>
      </w:r>
      <w:r w:rsidR="00DA2822" w:rsidRPr="00DA2822">
        <w:rPr>
          <w:rFonts w:ascii="Arial" w:hAnsi="Arial" w:cs="Arial"/>
          <w:sz w:val="24"/>
          <w:szCs w:val="24"/>
        </w:rPr>
        <w:t>che hanno ad oggetto proposte di profili professionali o di altre figure che possano in qualche modo sovrapporsi e/o parcellizzare il profilo professionale del commercialista</w:t>
      </w:r>
      <w:r>
        <w:rPr>
          <w:rFonts w:ascii="Arial" w:hAnsi="Arial" w:cs="Arial"/>
          <w:sz w:val="24"/>
          <w:szCs w:val="24"/>
        </w:rPr>
        <w:t>”</w:t>
      </w:r>
      <w:r w:rsidR="00056B39">
        <w:rPr>
          <w:rFonts w:ascii="Arial" w:hAnsi="Arial" w:cs="Arial"/>
          <w:sz w:val="24"/>
          <w:szCs w:val="24"/>
        </w:rPr>
        <w:t>.</w:t>
      </w:r>
    </w:p>
    <w:p w14:paraId="3074CF4F" w14:textId="0BD110DD" w:rsidR="005F6B93" w:rsidRPr="00DA2822" w:rsidRDefault="005F6B93" w:rsidP="00DA2822">
      <w:pPr>
        <w:shd w:val="clear" w:color="auto" w:fill="FFFFFF"/>
        <w:jc w:val="center"/>
        <w:rPr>
          <w:rFonts w:ascii="Arial" w:eastAsia="Arial" w:hAnsi="Arial" w:cs="Arial"/>
          <w:sz w:val="24"/>
          <w:szCs w:val="24"/>
        </w:rPr>
      </w:pPr>
    </w:p>
    <w:sectPr w:rsidR="005F6B93" w:rsidRPr="00DA2822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2F85" w14:textId="77777777" w:rsidR="007877B6" w:rsidRDefault="007877B6">
      <w:r>
        <w:separator/>
      </w:r>
    </w:p>
  </w:endnote>
  <w:endnote w:type="continuationSeparator" w:id="0">
    <w:p w14:paraId="2007E926" w14:textId="77777777" w:rsidR="007877B6" w:rsidRDefault="0078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E251" w14:textId="77777777" w:rsidR="007877B6" w:rsidRDefault="007877B6">
      <w:r>
        <w:separator/>
      </w:r>
    </w:p>
  </w:footnote>
  <w:footnote w:type="continuationSeparator" w:id="0">
    <w:p w14:paraId="15889DA3" w14:textId="77777777" w:rsidR="007877B6" w:rsidRDefault="0078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23BF1"/>
    <w:rsid w:val="0004465B"/>
    <w:rsid w:val="00056B39"/>
    <w:rsid w:val="00090992"/>
    <w:rsid w:val="000B5619"/>
    <w:rsid w:val="000D6ED2"/>
    <w:rsid w:val="000E08B6"/>
    <w:rsid w:val="000F1AA7"/>
    <w:rsid w:val="00102840"/>
    <w:rsid w:val="00103156"/>
    <w:rsid w:val="001657E9"/>
    <w:rsid w:val="001B1920"/>
    <w:rsid w:val="001D6FF9"/>
    <w:rsid w:val="002A2879"/>
    <w:rsid w:val="002B4469"/>
    <w:rsid w:val="002C49C0"/>
    <w:rsid w:val="00326249"/>
    <w:rsid w:val="00387C43"/>
    <w:rsid w:val="00463658"/>
    <w:rsid w:val="004C16AB"/>
    <w:rsid w:val="00554081"/>
    <w:rsid w:val="005737D5"/>
    <w:rsid w:val="00580C6D"/>
    <w:rsid w:val="005876ED"/>
    <w:rsid w:val="005F6B93"/>
    <w:rsid w:val="005F788F"/>
    <w:rsid w:val="00604E37"/>
    <w:rsid w:val="00636734"/>
    <w:rsid w:val="0068637E"/>
    <w:rsid w:val="006B3E5B"/>
    <w:rsid w:val="006D73FC"/>
    <w:rsid w:val="00786893"/>
    <w:rsid w:val="007877B6"/>
    <w:rsid w:val="007C29BB"/>
    <w:rsid w:val="007D361E"/>
    <w:rsid w:val="007E23E2"/>
    <w:rsid w:val="00801E5C"/>
    <w:rsid w:val="00827BB9"/>
    <w:rsid w:val="00835DFC"/>
    <w:rsid w:val="00846CAC"/>
    <w:rsid w:val="00852119"/>
    <w:rsid w:val="00895FF8"/>
    <w:rsid w:val="008C3A06"/>
    <w:rsid w:val="008D050B"/>
    <w:rsid w:val="008E7494"/>
    <w:rsid w:val="008F3A07"/>
    <w:rsid w:val="0092222A"/>
    <w:rsid w:val="00946202"/>
    <w:rsid w:val="00951031"/>
    <w:rsid w:val="00991E87"/>
    <w:rsid w:val="00A90FDA"/>
    <w:rsid w:val="00AF32E8"/>
    <w:rsid w:val="00B406A9"/>
    <w:rsid w:val="00BB3EF7"/>
    <w:rsid w:val="00BD401F"/>
    <w:rsid w:val="00C14B5A"/>
    <w:rsid w:val="00C151D8"/>
    <w:rsid w:val="00C2303C"/>
    <w:rsid w:val="00C87946"/>
    <w:rsid w:val="00CB7FB2"/>
    <w:rsid w:val="00CF1019"/>
    <w:rsid w:val="00D25D02"/>
    <w:rsid w:val="00D33529"/>
    <w:rsid w:val="00D71E86"/>
    <w:rsid w:val="00DA2822"/>
    <w:rsid w:val="00DA569A"/>
    <w:rsid w:val="00E40EEA"/>
    <w:rsid w:val="00E87613"/>
    <w:rsid w:val="00EC0F33"/>
    <w:rsid w:val="00EC3325"/>
    <w:rsid w:val="00ED7CE8"/>
    <w:rsid w:val="00F15857"/>
    <w:rsid w:val="00F30B3A"/>
    <w:rsid w:val="00F620DD"/>
    <w:rsid w:val="00F66F72"/>
    <w:rsid w:val="00F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0446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465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44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Mastrogiacomo Tiziana</cp:lastModifiedBy>
  <cp:revision>4</cp:revision>
  <dcterms:created xsi:type="dcterms:W3CDTF">2023-11-22T08:06:00Z</dcterms:created>
  <dcterms:modified xsi:type="dcterms:W3CDTF">2023-11-22T09:09:00Z</dcterms:modified>
</cp:coreProperties>
</file>