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06618" w14:textId="77777777" w:rsidR="00E13A41" w:rsidRDefault="00E13A41" w:rsidP="00E13A41">
      <w:pPr>
        <w:pStyle w:val="xp3"/>
        <w:shd w:val="clear" w:color="auto" w:fill="FFFFFF"/>
        <w:jc w:val="both"/>
        <w:rPr>
          <w:rFonts w:ascii="Arial" w:hAnsi="Arial" w:cs="Arial"/>
          <w:b/>
          <w:bCs/>
          <w:sz w:val="24"/>
          <w:szCs w:val="24"/>
        </w:rPr>
      </w:pPr>
      <w:r>
        <w:rPr>
          <w:rFonts w:ascii="Arial" w:hAnsi="Arial" w:cs="Arial"/>
          <w:b/>
          <w:bCs/>
          <w:color w:val="000000"/>
          <w:sz w:val="24"/>
          <w:szCs w:val="24"/>
        </w:rPr>
        <w:t>Comunicato stampa</w:t>
      </w:r>
    </w:p>
    <w:p w14:paraId="13D9A0DB" w14:textId="77777777" w:rsidR="00E13A41" w:rsidRDefault="00E13A41" w:rsidP="00E13A41">
      <w:pPr>
        <w:pStyle w:val="xp3"/>
        <w:shd w:val="clear" w:color="auto" w:fill="FFFFFF"/>
        <w:jc w:val="both"/>
        <w:rPr>
          <w:rFonts w:ascii="Arial" w:hAnsi="Arial" w:cs="Arial"/>
          <w:b/>
          <w:bCs/>
          <w:sz w:val="24"/>
          <w:szCs w:val="24"/>
        </w:rPr>
      </w:pPr>
    </w:p>
    <w:p w14:paraId="26E049AD" w14:textId="5471C3A9" w:rsidR="006370AA" w:rsidRPr="006370AA" w:rsidRDefault="00E13A41" w:rsidP="00E13A41">
      <w:pPr>
        <w:pStyle w:val="xp3"/>
        <w:shd w:val="clear" w:color="auto" w:fill="FFFFFF"/>
        <w:jc w:val="both"/>
        <w:rPr>
          <w:rFonts w:ascii="Arial" w:hAnsi="Arial" w:cs="Arial"/>
          <w:b/>
          <w:bCs/>
          <w:color w:val="000000"/>
          <w:sz w:val="24"/>
          <w:szCs w:val="24"/>
        </w:rPr>
      </w:pPr>
      <w:r w:rsidRPr="006370AA">
        <w:rPr>
          <w:rFonts w:ascii="Arial" w:hAnsi="Arial" w:cs="Arial"/>
          <w:b/>
          <w:bCs/>
          <w:color w:val="000000"/>
          <w:sz w:val="24"/>
          <w:szCs w:val="24"/>
        </w:rPr>
        <w:t xml:space="preserve">SUPERBONUS 110%, </w:t>
      </w:r>
      <w:r w:rsidR="006370AA" w:rsidRPr="006370AA">
        <w:rPr>
          <w:rFonts w:ascii="Arial" w:hAnsi="Arial" w:cs="Arial"/>
          <w:b/>
          <w:bCs/>
          <w:color w:val="000000"/>
          <w:sz w:val="24"/>
          <w:szCs w:val="24"/>
        </w:rPr>
        <w:t>PUBBLICATE LE CHECK LIST DEI COMMERCIALISTI</w:t>
      </w:r>
    </w:p>
    <w:p w14:paraId="19BF50CF" w14:textId="2BEFFB0E" w:rsidR="00E13A41" w:rsidRPr="006370AA" w:rsidRDefault="006370AA" w:rsidP="00E13A41">
      <w:pPr>
        <w:pStyle w:val="xp3"/>
        <w:shd w:val="clear" w:color="auto" w:fill="FFFFFF"/>
        <w:jc w:val="both"/>
        <w:rPr>
          <w:rFonts w:ascii="Arial" w:hAnsi="Arial" w:cs="Arial"/>
          <w:b/>
          <w:bCs/>
          <w:sz w:val="24"/>
          <w:szCs w:val="24"/>
        </w:rPr>
      </w:pPr>
      <w:r w:rsidRPr="006370AA">
        <w:rPr>
          <w:rFonts w:ascii="Arial" w:hAnsi="Arial" w:cs="Arial"/>
          <w:b/>
          <w:bCs/>
          <w:sz w:val="24"/>
          <w:szCs w:val="24"/>
        </w:rPr>
        <w:t>Consiglio e Fondazione nazionali dei commercialisti pubblicano due check list per il visto di conformità sugli interventi per l’efficienza energetica e la riduzione del rischio sismico</w:t>
      </w:r>
    </w:p>
    <w:p w14:paraId="399D0114" w14:textId="573F3774" w:rsidR="006370AA" w:rsidRPr="006370AA" w:rsidRDefault="006370AA" w:rsidP="00E13A41">
      <w:pPr>
        <w:pStyle w:val="xp3"/>
        <w:shd w:val="clear" w:color="auto" w:fill="FFFFFF"/>
        <w:jc w:val="both"/>
        <w:rPr>
          <w:rFonts w:ascii="Arial" w:hAnsi="Arial" w:cs="Arial"/>
        </w:rPr>
      </w:pPr>
    </w:p>
    <w:p w14:paraId="2F3F3927" w14:textId="77777777" w:rsidR="006370AA" w:rsidRPr="006370AA" w:rsidRDefault="006370AA" w:rsidP="00E13A41">
      <w:pPr>
        <w:pStyle w:val="xp3"/>
        <w:shd w:val="clear" w:color="auto" w:fill="FFFFFF"/>
        <w:jc w:val="both"/>
        <w:rPr>
          <w:rFonts w:ascii="Arial" w:hAnsi="Arial" w:cs="Arial"/>
        </w:rPr>
      </w:pPr>
    </w:p>
    <w:p w14:paraId="5B8BCE98" w14:textId="4817417D" w:rsidR="00E13A41" w:rsidRDefault="00E13A41" w:rsidP="00E13A41">
      <w:pPr>
        <w:pStyle w:val="xp3"/>
        <w:shd w:val="clear" w:color="auto" w:fill="FFFFFF"/>
        <w:jc w:val="both"/>
        <w:rPr>
          <w:rFonts w:ascii="Arial" w:hAnsi="Arial" w:cs="Arial"/>
          <w:color w:val="000000"/>
          <w:sz w:val="24"/>
          <w:szCs w:val="24"/>
        </w:rPr>
      </w:pPr>
      <w:r w:rsidRPr="006370AA">
        <w:rPr>
          <w:rFonts w:ascii="Arial" w:hAnsi="Arial" w:cs="Arial"/>
          <w:i/>
          <w:iCs/>
          <w:color w:val="000000"/>
          <w:sz w:val="24"/>
          <w:szCs w:val="24"/>
        </w:rPr>
        <w:t>Roma, 22 ottobre 2020</w:t>
      </w:r>
      <w:r w:rsidRPr="006370AA">
        <w:rPr>
          <w:rFonts w:ascii="Arial" w:hAnsi="Arial" w:cs="Arial"/>
          <w:color w:val="000000"/>
          <w:sz w:val="24"/>
          <w:szCs w:val="24"/>
        </w:rPr>
        <w:t xml:space="preserve"> – Il Consiglio e la Fondazione </w:t>
      </w:r>
      <w:r w:rsidR="008D7EE0" w:rsidRPr="006370AA">
        <w:rPr>
          <w:rFonts w:ascii="Arial" w:hAnsi="Arial" w:cs="Arial"/>
          <w:color w:val="000000"/>
          <w:sz w:val="24"/>
          <w:szCs w:val="24"/>
        </w:rPr>
        <w:t>n</w:t>
      </w:r>
      <w:r w:rsidRPr="006370AA">
        <w:rPr>
          <w:rFonts w:ascii="Arial" w:hAnsi="Arial" w:cs="Arial"/>
          <w:color w:val="000000"/>
          <w:sz w:val="24"/>
          <w:szCs w:val="24"/>
        </w:rPr>
        <w:t>azional</w:t>
      </w:r>
      <w:r w:rsidR="008D7EE0" w:rsidRPr="006370AA">
        <w:rPr>
          <w:rFonts w:ascii="Arial" w:hAnsi="Arial" w:cs="Arial"/>
          <w:color w:val="000000"/>
          <w:sz w:val="24"/>
          <w:szCs w:val="24"/>
        </w:rPr>
        <w:t>i</w:t>
      </w:r>
      <w:r w:rsidRPr="006370AA">
        <w:rPr>
          <w:rFonts w:ascii="Arial" w:hAnsi="Arial" w:cs="Arial"/>
          <w:color w:val="000000"/>
          <w:sz w:val="24"/>
          <w:szCs w:val="24"/>
        </w:rPr>
        <w:t xml:space="preserve"> dei </w:t>
      </w:r>
      <w:r w:rsidR="008D7EE0" w:rsidRPr="006370AA">
        <w:rPr>
          <w:rFonts w:ascii="Arial" w:hAnsi="Arial" w:cs="Arial"/>
          <w:color w:val="000000"/>
          <w:sz w:val="24"/>
          <w:szCs w:val="24"/>
        </w:rPr>
        <w:t>c</w:t>
      </w:r>
      <w:r w:rsidRPr="006370AA">
        <w:rPr>
          <w:rFonts w:ascii="Arial" w:hAnsi="Arial" w:cs="Arial"/>
          <w:color w:val="000000"/>
          <w:sz w:val="24"/>
          <w:szCs w:val="24"/>
        </w:rPr>
        <w:t>ommercialisti hanno</w:t>
      </w:r>
      <w:r>
        <w:rPr>
          <w:rFonts w:ascii="Arial" w:hAnsi="Arial" w:cs="Arial"/>
          <w:color w:val="000000"/>
          <w:sz w:val="24"/>
          <w:szCs w:val="24"/>
        </w:rPr>
        <w:t xml:space="preserve"> pubblicato il documento “Il </w:t>
      </w:r>
      <w:r w:rsidR="008D7EE0">
        <w:rPr>
          <w:rFonts w:ascii="Arial" w:hAnsi="Arial" w:cs="Arial"/>
          <w:color w:val="000000"/>
          <w:sz w:val="24"/>
          <w:szCs w:val="24"/>
        </w:rPr>
        <w:t>S</w:t>
      </w:r>
      <w:r>
        <w:rPr>
          <w:rFonts w:ascii="Arial" w:hAnsi="Arial" w:cs="Arial"/>
          <w:color w:val="000000"/>
          <w:sz w:val="24"/>
          <w:szCs w:val="24"/>
        </w:rPr>
        <w:t xml:space="preserve">uperbonus del 110%: le check list per il visto di conformità sugli interventi per l’efficienza energetica e la riduzione del rischio sismico”, una ricognizione sui controlli che i soggetti abilitati sono </w:t>
      </w:r>
      <w:bookmarkStart w:id="0" w:name="_GoBack"/>
      <w:bookmarkEnd w:id="0"/>
      <w:r>
        <w:rPr>
          <w:rFonts w:ascii="Arial" w:hAnsi="Arial" w:cs="Arial"/>
          <w:color w:val="000000"/>
          <w:sz w:val="24"/>
          <w:szCs w:val="24"/>
        </w:rPr>
        <w:t>chiamati ad effettuare ai fini di un corretto rilascio del visto di conformità.</w:t>
      </w:r>
    </w:p>
    <w:p w14:paraId="1D817C4E" w14:textId="77777777" w:rsidR="00E13A41" w:rsidRDefault="00E13A41" w:rsidP="00E13A41">
      <w:pPr>
        <w:pStyle w:val="xp3"/>
        <w:shd w:val="clear" w:color="auto" w:fill="FFFFFF"/>
        <w:jc w:val="both"/>
      </w:pPr>
    </w:p>
    <w:p w14:paraId="4AF33516" w14:textId="79B21F27" w:rsidR="00E13A41" w:rsidRDefault="00E13A41" w:rsidP="00E13A41">
      <w:pPr>
        <w:pStyle w:val="xp6"/>
        <w:jc w:val="both"/>
        <w:rPr>
          <w:rFonts w:ascii="Arial" w:hAnsi="Arial" w:cs="Arial"/>
          <w:color w:val="000000"/>
          <w:sz w:val="24"/>
          <w:szCs w:val="24"/>
        </w:rPr>
      </w:pPr>
      <w:r>
        <w:rPr>
          <w:rFonts w:ascii="Arial" w:hAnsi="Arial" w:cs="Arial"/>
          <w:color w:val="000000"/>
          <w:sz w:val="24"/>
          <w:szCs w:val="24"/>
        </w:rPr>
        <w:t xml:space="preserve">Il </w:t>
      </w:r>
      <w:r w:rsidR="008D7EE0">
        <w:rPr>
          <w:rFonts w:ascii="Arial" w:hAnsi="Arial" w:cs="Arial"/>
          <w:color w:val="000000"/>
          <w:sz w:val="24"/>
          <w:szCs w:val="24"/>
        </w:rPr>
        <w:t>D</w:t>
      </w:r>
      <w:r>
        <w:rPr>
          <w:rFonts w:ascii="Arial" w:hAnsi="Arial" w:cs="Arial"/>
          <w:color w:val="000000"/>
          <w:sz w:val="24"/>
          <w:szCs w:val="24"/>
        </w:rPr>
        <w:t>ecreto Rilancio</w:t>
      </w:r>
      <w:r w:rsidR="008D7EE0">
        <w:rPr>
          <w:rFonts w:ascii="Arial" w:hAnsi="Arial" w:cs="Arial"/>
          <w:color w:val="000000"/>
          <w:sz w:val="24"/>
          <w:szCs w:val="24"/>
        </w:rPr>
        <w:t>,</w:t>
      </w:r>
      <w:r>
        <w:rPr>
          <w:rFonts w:ascii="Arial" w:hAnsi="Arial" w:cs="Arial"/>
          <w:color w:val="000000"/>
          <w:sz w:val="24"/>
          <w:szCs w:val="24"/>
        </w:rPr>
        <w:t xml:space="preserve"> nell’ambito delle misure di sostegno all’economia previste per fronteggiare le difficoltà economiche e finanziarie connesse all’emergenza epidemiologica da COVID-19, con l’articolo 119 ha incrementato al 110% l’aliquota di detrazione delle spese sostenute dal 1° luglio 2020 al 31 dicembre 2021 per specifici interventi di efficientamento energetico o di riduzione del rischio sismico degli edifici (c.d. “Superbonus”).</w:t>
      </w:r>
      <w:r w:rsidR="008D7EE0">
        <w:rPr>
          <w:rFonts w:ascii="Arial" w:hAnsi="Arial" w:cs="Arial"/>
          <w:sz w:val="24"/>
          <w:szCs w:val="24"/>
        </w:rPr>
        <w:t xml:space="preserve"> </w:t>
      </w:r>
      <w:r>
        <w:rPr>
          <w:rFonts w:ascii="Arial" w:hAnsi="Arial" w:cs="Arial"/>
          <w:color w:val="000000"/>
          <w:sz w:val="24"/>
          <w:szCs w:val="24"/>
        </w:rPr>
        <w:t>Per usufruire della detrazione, il contribuente deve aver eseguito gli adempimenti normativamente previsti ed essere in possesso della relativa documentazione.</w:t>
      </w:r>
    </w:p>
    <w:p w14:paraId="4162214A" w14:textId="77777777" w:rsidR="008D7EE0" w:rsidRPr="008D7EE0" w:rsidRDefault="008D7EE0" w:rsidP="00E13A41">
      <w:pPr>
        <w:pStyle w:val="xp6"/>
        <w:jc w:val="both"/>
        <w:rPr>
          <w:rFonts w:ascii="Arial" w:hAnsi="Arial" w:cs="Arial"/>
          <w:sz w:val="24"/>
          <w:szCs w:val="24"/>
        </w:rPr>
      </w:pPr>
    </w:p>
    <w:p w14:paraId="6F486EC5" w14:textId="4DF37B61" w:rsidR="00E13A41" w:rsidRDefault="00E13A41" w:rsidP="00E13A41">
      <w:pPr>
        <w:pStyle w:val="xp6"/>
        <w:jc w:val="both"/>
        <w:rPr>
          <w:rFonts w:ascii="Arial" w:hAnsi="Arial" w:cs="Arial"/>
          <w:color w:val="000000"/>
          <w:sz w:val="24"/>
          <w:szCs w:val="24"/>
        </w:rPr>
      </w:pPr>
      <w:r>
        <w:rPr>
          <w:rFonts w:ascii="Arial" w:hAnsi="Arial" w:cs="Arial"/>
          <w:color w:val="000000"/>
          <w:sz w:val="24"/>
          <w:szCs w:val="24"/>
        </w:rPr>
        <w:t>L’articolo 121 del Decreto ha inoltre previsto per gli interventi espressamente elencati nel comma 2 (compresi quelli che danno diritto al “Superbonus”) la possibilità di optare, in luogo della fruizione diretta della detrazione, per un contributo, sotto forma di sconto sul corrispettivo dovuto, anticipato dai fornitori che hanno effettuato gli interventi (c.d. sconto in fattura) o, in alternativa, per la cessione a soggetti terzi (compresi gli istituti di credito e gli altri intermediari finanziari) del credito corrispondente alla detrazione spettante.</w:t>
      </w:r>
      <w:r>
        <w:rPr>
          <w:rStyle w:val="xapple-converted-space"/>
          <w:rFonts w:ascii="Arial" w:hAnsi="Arial" w:cs="Arial"/>
          <w:color w:val="000000"/>
          <w:sz w:val="24"/>
          <w:szCs w:val="24"/>
        </w:rPr>
        <w:t> </w:t>
      </w:r>
    </w:p>
    <w:p w14:paraId="48CE7D58" w14:textId="77777777" w:rsidR="00E13A41" w:rsidRDefault="00E13A41" w:rsidP="00E13A41">
      <w:pPr>
        <w:pStyle w:val="xp6"/>
        <w:jc w:val="both"/>
        <w:rPr>
          <w:rFonts w:ascii="Arial" w:hAnsi="Arial" w:cs="Arial"/>
          <w:sz w:val="24"/>
          <w:szCs w:val="24"/>
        </w:rPr>
      </w:pPr>
    </w:p>
    <w:p w14:paraId="34AB6386" w14:textId="1D94A420" w:rsidR="00E13A41" w:rsidRDefault="00E13A41" w:rsidP="00E13A41">
      <w:pPr>
        <w:pStyle w:val="xp6"/>
        <w:jc w:val="both"/>
        <w:rPr>
          <w:rFonts w:ascii="Arial" w:hAnsi="Arial" w:cs="Arial"/>
          <w:color w:val="000000"/>
          <w:sz w:val="24"/>
          <w:szCs w:val="24"/>
        </w:rPr>
      </w:pPr>
      <w:r>
        <w:rPr>
          <w:rFonts w:ascii="Arial" w:hAnsi="Arial" w:cs="Arial"/>
          <w:color w:val="000000"/>
          <w:sz w:val="24"/>
          <w:szCs w:val="24"/>
        </w:rPr>
        <w:t>Per gli interventi che danno diritto al “Superbonus”, in caso di esercizio dell’opzione per lo sconto in fattura o la cessione del credito d’imposta, il legislatore richiede, in aggiunta agli adempimenti ordinariamente previsti, l’apposizione del </w:t>
      </w:r>
      <w:r w:rsidR="008D7EE0">
        <w:rPr>
          <w:rFonts w:ascii="Arial" w:hAnsi="Arial" w:cs="Arial"/>
          <w:color w:val="000000"/>
          <w:sz w:val="24"/>
          <w:szCs w:val="24"/>
        </w:rPr>
        <w:t>v</w:t>
      </w:r>
      <w:r>
        <w:rPr>
          <w:rFonts w:ascii="Arial" w:hAnsi="Arial" w:cs="Arial"/>
          <w:color w:val="000000"/>
          <w:sz w:val="24"/>
          <w:szCs w:val="24"/>
        </w:rPr>
        <w:t>isto di conformità</w:t>
      </w:r>
      <w:r>
        <w:rPr>
          <w:rFonts w:ascii="Arial" w:hAnsi="Arial" w:cs="Arial"/>
          <w:b/>
          <w:bCs/>
          <w:color w:val="000000"/>
          <w:sz w:val="24"/>
          <w:szCs w:val="24"/>
        </w:rPr>
        <w:t> </w:t>
      </w:r>
      <w:r>
        <w:rPr>
          <w:rFonts w:ascii="Arial" w:hAnsi="Arial" w:cs="Arial"/>
          <w:color w:val="000000"/>
          <w:sz w:val="24"/>
          <w:szCs w:val="24"/>
        </w:rPr>
        <w:t>ai sensi</w:t>
      </w:r>
      <w:r w:rsidR="008D7EE0">
        <w:rPr>
          <w:rFonts w:ascii="Arial" w:hAnsi="Arial" w:cs="Arial"/>
          <w:color w:val="000000"/>
          <w:sz w:val="24"/>
          <w:szCs w:val="24"/>
        </w:rPr>
        <w:t xml:space="preserve"> </w:t>
      </w:r>
      <w:r>
        <w:rPr>
          <w:rFonts w:ascii="Arial" w:hAnsi="Arial" w:cs="Arial"/>
          <w:color w:val="000000"/>
          <w:sz w:val="24"/>
          <w:szCs w:val="24"/>
        </w:rPr>
        <w:t>dell</w:t>
      </w:r>
      <w:r w:rsidR="008D7EE0">
        <w:rPr>
          <w:rFonts w:ascii="Arial" w:hAnsi="Arial" w:cs="Arial"/>
          <w:color w:val="000000"/>
          <w:sz w:val="24"/>
          <w:szCs w:val="24"/>
        </w:rPr>
        <w:t>’</w:t>
      </w:r>
      <w:r>
        <w:rPr>
          <w:rFonts w:ascii="Arial" w:hAnsi="Arial" w:cs="Arial"/>
          <w:color w:val="000000"/>
          <w:sz w:val="24"/>
          <w:szCs w:val="24"/>
        </w:rPr>
        <w:t xml:space="preserve">articolo 35 del decreto legislativo 9 luglio 1997, n. 241 su un’apposita comunicazione da inoltrare all’Agenzia delle </w:t>
      </w:r>
      <w:r w:rsidR="008D7EE0">
        <w:rPr>
          <w:rFonts w:ascii="Arial" w:hAnsi="Arial" w:cs="Arial"/>
          <w:color w:val="000000"/>
          <w:sz w:val="24"/>
          <w:szCs w:val="24"/>
        </w:rPr>
        <w:t>E</w:t>
      </w:r>
      <w:r>
        <w:rPr>
          <w:rFonts w:ascii="Arial" w:hAnsi="Arial" w:cs="Arial"/>
          <w:color w:val="000000"/>
          <w:sz w:val="24"/>
          <w:szCs w:val="24"/>
        </w:rPr>
        <w:t>ntrate che attesta la sussistenza dei presupposti che danno diritto alla detrazione d’imposta. Il visto in parola può essere rilasciato solo dai soggetti abilitati (tra gli altri, commercialisti e consulenti del lavoro abilitati alla trasmissione telematica delle dichiarazioni).</w:t>
      </w:r>
      <w:r>
        <w:rPr>
          <w:rStyle w:val="xapple-converted-space"/>
          <w:rFonts w:ascii="Arial" w:hAnsi="Arial" w:cs="Arial"/>
          <w:color w:val="000000"/>
          <w:sz w:val="24"/>
          <w:szCs w:val="24"/>
        </w:rPr>
        <w:t> </w:t>
      </w:r>
    </w:p>
    <w:p w14:paraId="2E15DB41" w14:textId="77777777" w:rsidR="00E13A41" w:rsidRDefault="00E13A41" w:rsidP="00E13A41">
      <w:pPr>
        <w:pStyle w:val="xp7"/>
        <w:jc w:val="both"/>
        <w:rPr>
          <w:rFonts w:ascii="Arial" w:hAnsi="Arial" w:cs="Arial"/>
          <w:sz w:val="24"/>
          <w:szCs w:val="24"/>
        </w:rPr>
      </w:pPr>
    </w:p>
    <w:p w14:paraId="152F6A4D" w14:textId="2726B1E6" w:rsidR="00B3271C" w:rsidRPr="00237BEE" w:rsidRDefault="00E13A41" w:rsidP="0060505E">
      <w:pPr>
        <w:pStyle w:val="xp7"/>
        <w:jc w:val="both"/>
        <w:rPr>
          <w:rFonts w:ascii="Arial" w:hAnsi="Arial" w:cs="Arial"/>
          <w:sz w:val="21"/>
          <w:szCs w:val="21"/>
        </w:rPr>
      </w:pPr>
      <w:r>
        <w:rPr>
          <w:rFonts w:ascii="Arial" w:hAnsi="Arial" w:cs="Arial"/>
          <w:color w:val="000000"/>
          <w:sz w:val="24"/>
          <w:szCs w:val="24"/>
        </w:rPr>
        <w:t xml:space="preserve">Nel </w:t>
      </w:r>
      <w:r w:rsidR="008D7EE0">
        <w:rPr>
          <w:rFonts w:ascii="Arial" w:hAnsi="Arial" w:cs="Arial"/>
          <w:color w:val="000000"/>
          <w:sz w:val="24"/>
          <w:szCs w:val="24"/>
        </w:rPr>
        <w:t>documento</w:t>
      </w:r>
      <w:r>
        <w:rPr>
          <w:rFonts w:ascii="Arial" w:hAnsi="Arial" w:cs="Arial"/>
          <w:color w:val="000000"/>
          <w:sz w:val="24"/>
          <w:szCs w:val="24"/>
        </w:rPr>
        <w:t xml:space="preserve"> presenti due utili check list dei controlli che devono essere effettuati ai fini dell’apposizione del visto di conformità sull’apposita comunicazione da inoltrare all’Agenzia delle </w:t>
      </w:r>
      <w:r w:rsidR="008D7EE0">
        <w:rPr>
          <w:rFonts w:ascii="Arial" w:hAnsi="Arial" w:cs="Arial"/>
          <w:color w:val="000000"/>
          <w:sz w:val="24"/>
          <w:szCs w:val="24"/>
        </w:rPr>
        <w:t>E</w:t>
      </w:r>
      <w:r>
        <w:rPr>
          <w:rFonts w:ascii="Arial" w:hAnsi="Arial" w:cs="Arial"/>
          <w:color w:val="000000"/>
          <w:sz w:val="24"/>
          <w:szCs w:val="24"/>
        </w:rPr>
        <w:t>ntrate per attestare la sussistenza dei presupposti che danno diritto alla detrazione, nei casi di opzione per la cessione del credito d’imposta o per lo sconto in fattura, in alternativa alla fruizione diretta della detrazione</w:t>
      </w:r>
      <w:r w:rsidR="0060505E">
        <w:rPr>
          <w:rFonts w:ascii="Arial" w:hAnsi="Arial" w:cs="Arial"/>
          <w:color w:val="000000"/>
          <w:sz w:val="24"/>
          <w:szCs w:val="24"/>
        </w:rPr>
        <w:t>.</w:t>
      </w:r>
    </w:p>
    <w:sectPr w:rsidR="00B3271C" w:rsidRPr="00237BEE" w:rsidSect="00986D90">
      <w:headerReference w:type="default" r:id="rId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25A18" w14:textId="77777777" w:rsidR="00AE4584" w:rsidRDefault="00AE4584" w:rsidP="00627996">
      <w:r>
        <w:separator/>
      </w:r>
    </w:p>
  </w:endnote>
  <w:endnote w:type="continuationSeparator" w:id="0">
    <w:p w14:paraId="611699FA" w14:textId="77777777" w:rsidR="00AE4584" w:rsidRDefault="00AE4584" w:rsidP="0062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44FE7" w14:textId="77777777" w:rsidR="00AE4584" w:rsidRDefault="00AE4584" w:rsidP="00627996">
      <w:r>
        <w:separator/>
      </w:r>
    </w:p>
  </w:footnote>
  <w:footnote w:type="continuationSeparator" w:id="0">
    <w:p w14:paraId="551FAACE" w14:textId="77777777" w:rsidR="00AE4584" w:rsidRDefault="00AE4584" w:rsidP="00627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8A08A" w14:textId="77777777" w:rsidR="00627996" w:rsidRDefault="00627996">
    <w:pPr>
      <w:pStyle w:val="Intestazione"/>
    </w:pPr>
    <w:r w:rsidRPr="00A945F8">
      <w:rPr>
        <w:noProof/>
      </w:rPr>
      <w:drawing>
        <wp:inline distT="0" distB="0" distL="0" distR="0" wp14:anchorId="7719125B" wp14:editId="17E22CAA">
          <wp:extent cx="6116320" cy="970311"/>
          <wp:effectExtent l="0" t="0" r="0" b="1270"/>
          <wp:docPr id="2" name="Immagine 2"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97031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EC"/>
    <w:rsid w:val="00095516"/>
    <w:rsid w:val="001B3759"/>
    <w:rsid w:val="001D0C92"/>
    <w:rsid w:val="00206248"/>
    <w:rsid w:val="00237BEE"/>
    <w:rsid w:val="00261A16"/>
    <w:rsid w:val="002B1170"/>
    <w:rsid w:val="002B1507"/>
    <w:rsid w:val="002E31F2"/>
    <w:rsid w:val="00322548"/>
    <w:rsid w:val="003248FA"/>
    <w:rsid w:val="003C2FC0"/>
    <w:rsid w:val="003F7D24"/>
    <w:rsid w:val="00595991"/>
    <w:rsid w:val="0060505E"/>
    <w:rsid w:val="00627996"/>
    <w:rsid w:val="006370AA"/>
    <w:rsid w:val="00645E71"/>
    <w:rsid w:val="00656CC5"/>
    <w:rsid w:val="00734687"/>
    <w:rsid w:val="00777C0E"/>
    <w:rsid w:val="007A47D7"/>
    <w:rsid w:val="008D7EE0"/>
    <w:rsid w:val="00986D90"/>
    <w:rsid w:val="009D1104"/>
    <w:rsid w:val="009F27EC"/>
    <w:rsid w:val="00A0214C"/>
    <w:rsid w:val="00AC6BB0"/>
    <w:rsid w:val="00AE4584"/>
    <w:rsid w:val="00B75519"/>
    <w:rsid w:val="00C2499F"/>
    <w:rsid w:val="00D0285A"/>
    <w:rsid w:val="00D41E98"/>
    <w:rsid w:val="00DB4B99"/>
    <w:rsid w:val="00E10A34"/>
    <w:rsid w:val="00E13667"/>
    <w:rsid w:val="00E13A41"/>
    <w:rsid w:val="00F445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11E3A"/>
  <w14:defaultImageDpi w14:val="32767"/>
  <w15:chartTrackingRefBased/>
  <w15:docId w15:val="{0D396238-AB16-4B4D-83B2-F6752D63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261A1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F27E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627996"/>
    <w:pPr>
      <w:tabs>
        <w:tab w:val="center" w:pos="4819"/>
        <w:tab w:val="right" w:pos="9638"/>
      </w:tabs>
    </w:pPr>
  </w:style>
  <w:style w:type="character" w:customStyle="1" w:styleId="IntestazioneCarattere">
    <w:name w:val="Intestazione Carattere"/>
    <w:basedOn w:val="Carpredefinitoparagrafo"/>
    <w:link w:val="Intestazione"/>
    <w:uiPriority w:val="99"/>
    <w:rsid w:val="00627996"/>
  </w:style>
  <w:style w:type="paragraph" w:styleId="Pidipagina">
    <w:name w:val="footer"/>
    <w:basedOn w:val="Normale"/>
    <w:link w:val="PidipaginaCarattere"/>
    <w:uiPriority w:val="99"/>
    <w:unhideWhenUsed/>
    <w:rsid w:val="00627996"/>
    <w:pPr>
      <w:tabs>
        <w:tab w:val="center" w:pos="4819"/>
        <w:tab w:val="right" w:pos="9638"/>
      </w:tabs>
    </w:pPr>
  </w:style>
  <w:style w:type="character" w:customStyle="1" w:styleId="PidipaginaCarattere">
    <w:name w:val="Piè di pagina Carattere"/>
    <w:basedOn w:val="Carpredefinitoparagrafo"/>
    <w:link w:val="Pidipagina"/>
    <w:uiPriority w:val="99"/>
    <w:rsid w:val="00627996"/>
  </w:style>
  <w:style w:type="character" w:customStyle="1" w:styleId="apple-converted-space">
    <w:name w:val="apple-converted-space"/>
    <w:basedOn w:val="Carpredefinitoparagrafo"/>
    <w:rsid w:val="00261A16"/>
  </w:style>
  <w:style w:type="character" w:styleId="Enfasigrassetto">
    <w:name w:val="Strong"/>
    <w:basedOn w:val="Carpredefinitoparagrafo"/>
    <w:uiPriority w:val="22"/>
    <w:qFormat/>
    <w:rsid w:val="00261A16"/>
    <w:rPr>
      <w:b/>
      <w:bCs/>
    </w:rPr>
  </w:style>
  <w:style w:type="paragraph" w:customStyle="1" w:styleId="xp3">
    <w:name w:val="x_p3"/>
    <w:basedOn w:val="Normale"/>
    <w:rsid w:val="00E13A41"/>
    <w:rPr>
      <w:rFonts w:ascii="Calibri" w:hAnsi="Calibri" w:cs="Calibri"/>
      <w:sz w:val="22"/>
      <w:szCs w:val="22"/>
      <w:lang w:eastAsia="it-IT"/>
    </w:rPr>
  </w:style>
  <w:style w:type="paragraph" w:customStyle="1" w:styleId="xp4">
    <w:name w:val="x_p4"/>
    <w:basedOn w:val="Normale"/>
    <w:rsid w:val="00E13A41"/>
    <w:rPr>
      <w:rFonts w:ascii="Calibri" w:hAnsi="Calibri" w:cs="Calibri"/>
      <w:sz w:val="22"/>
      <w:szCs w:val="22"/>
      <w:lang w:eastAsia="it-IT"/>
    </w:rPr>
  </w:style>
  <w:style w:type="paragraph" w:customStyle="1" w:styleId="xp5">
    <w:name w:val="x_p5"/>
    <w:basedOn w:val="Normale"/>
    <w:rsid w:val="00E13A41"/>
    <w:rPr>
      <w:rFonts w:ascii="Calibri" w:hAnsi="Calibri" w:cs="Calibri"/>
      <w:sz w:val="22"/>
      <w:szCs w:val="22"/>
      <w:lang w:eastAsia="it-IT"/>
    </w:rPr>
  </w:style>
  <w:style w:type="paragraph" w:customStyle="1" w:styleId="xp6">
    <w:name w:val="x_p6"/>
    <w:basedOn w:val="Normale"/>
    <w:rsid w:val="00E13A41"/>
    <w:rPr>
      <w:rFonts w:ascii="Calibri" w:hAnsi="Calibri" w:cs="Calibri"/>
      <w:sz w:val="22"/>
      <w:szCs w:val="22"/>
      <w:lang w:eastAsia="it-IT"/>
    </w:rPr>
  </w:style>
  <w:style w:type="paragraph" w:customStyle="1" w:styleId="xp7">
    <w:name w:val="x_p7"/>
    <w:basedOn w:val="Normale"/>
    <w:rsid w:val="00E13A41"/>
    <w:rPr>
      <w:rFonts w:ascii="Calibri" w:hAnsi="Calibri" w:cs="Calibri"/>
      <w:sz w:val="22"/>
      <w:szCs w:val="22"/>
      <w:lang w:eastAsia="it-IT"/>
    </w:rPr>
  </w:style>
  <w:style w:type="character" w:customStyle="1" w:styleId="xapple-converted-space">
    <w:name w:val="x_apple-converted-space"/>
    <w:basedOn w:val="Carpredefinitoparagrafo"/>
    <w:rsid w:val="00E13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389088">
      <w:bodyDiv w:val="1"/>
      <w:marLeft w:val="0"/>
      <w:marRight w:val="0"/>
      <w:marTop w:val="0"/>
      <w:marBottom w:val="0"/>
      <w:divBdr>
        <w:top w:val="none" w:sz="0" w:space="0" w:color="auto"/>
        <w:left w:val="none" w:sz="0" w:space="0" w:color="auto"/>
        <w:bottom w:val="none" w:sz="0" w:space="0" w:color="auto"/>
        <w:right w:val="none" w:sz="0" w:space="0" w:color="auto"/>
      </w:divBdr>
    </w:div>
    <w:div w:id="2075006483">
      <w:bodyDiv w:val="1"/>
      <w:marLeft w:val="0"/>
      <w:marRight w:val="0"/>
      <w:marTop w:val="0"/>
      <w:marBottom w:val="0"/>
      <w:divBdr>
        <w:top w:val="none" w:sz="0" w:space="0" w:color="auto"/>
        <w:left w:val="none" w:sz="0" w:space="0" w:color="auto"/>
        <w:bottom w:val="none" w:sz="0" w:space="0" w:color="auto"/>
        <w:right w:val="none" w:sz="0" w:space="0" w:color="auto"/>
      </w:divBdr>
      <w:divsChild>
        <w:div w:id="1597907069">
          <w:marLeft w:val="0"/>
          <w:marRight w:val="0"/>
          <w:marTop w:val="0"/>
          <w:marBottom w:val="0"/>
          <w:divBdr>
            <w:top w:val="none" w:sz="0" w:space="0" w:color="auto"/>
            <w:left w:val="none" w:sz="0" w:space="0" w:color="auto"/>
            <w:bottom w:val="none" w:sz="0" w:space="0" w:color="auto"/>
            <w:right w:val="none" w:sz="0" w:space="0" w:color="auto"/>
          </w:divBdr>
          <w:divsChild>
            <w:div w:id="163478436">
              <w:marLeft w:val="0"/>
              <w:marRight w:val="0"/>
              <w:marTop w:val="0"/>
              <w:marBottom w:val="0"/>
              <w:divBdr>
                <w:top w:val="none" w:sz="0" w:space="0" w:color="auto"/>
                <w:left w:val="none" w:sz="0" w:space="0" w:color="auto"/>
                <w:bottom w:val="none" w:sz="0" w:space="0" w:color="auto"/>
                <w:right w:val="none" w:sz="0" w:space="0" w:color="auto"/>
              </w:divBdr>
              <w:divsChild>
                <w:div w:id="166450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438</Words>
  <Characters>2502</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Parracino Mauro</dc:creator>
  <cp:keywords/>
  <dc:description/>
  <cp:lastModifiedBy>Mastrogiacomo Tiziana</cp:lastModifiedBy>
  <cp:revision>9</cp:revision>
  <dcterms:created xsi:type="dcterms:W3CDTF">2020-10-21T12:29:00Z</dcterms:created>
  <dcterms:modified xsi:type="dcterms:W3CDTF">2020-10-22T09:51:00Z</dcterms:modified>
</cp:coreProperties>
</file>