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41937" w14:textId="77777777" w:rsidR="009D6ABC" w:rsidRDefault="009D6ABC" w:rsidP="002B1CBF">
      <w:pPr>
        <w:jc w:val="both"/>
        <w:rPr>
          <w:rFonts w:ascii="Arial" w:hAnsi="Arial" w:cs="Arial"/>
          <w:b/>
          <w:bCs/>
          <w:sz w:val="24"/>
          <w:szCs w:val="24"/>
          <w:u w:val="single"/>
        </w:rPr>
      </w:pPr>
      <w:bookmarkStart w:id="0" w:name="_Hlk499733979"/>
    </w:p>
    <w:p w14:paraId="574FE0BA" w14:textId="7652CF35" w:rsidR="00D10DE0" w:rsidRPr="002B1CBF" w:rsidRDefault="00D10DE0" w:rsidP="002B1CBF">
      <w:pPr>
        <w:jc w:val="both"/>
        <w:rPr>
          <w:rFonts w:ascii="Arial" w:hAnsi="Arial" w:cs="Arial"/>
          <w:sz w:val="24"/>
          <w:szCs w:val="24"/>
        </w:rPr>
      </w:pPr>
      <w:r w:rsidRPr="002B1CBF">
        <w:rPr>
          <w:rFonts w:ascii="Arial" w:hAnsi="Arial" w:cs="Arial"/>
          <w:b/>
          <w:bCs/>
          <w:sz w:val="24"/>
          <w:szCs w:val="24"/>
          <w:u w:val="single"/>
        </w:rPr>
        <w:t>COMUNICATO STAMPA</w:t>
      </w:r>
      <w:r w:rsidRPr="002B1CBF">
        <w:rPr>
          <w:rFonts w:ascii="Arial" w:hAnsi="Arial" w:cs="Arial"/>
          <w:sz w:val="24"/>
          <w:szCs w:val="24"/>
        </w:rPr>
        <w:t xml:space="preserve"> </w:t>
      </w:r>
    </w:p>
    <w:p w14:paraId="2E6D1571" w14:textId="77777777" w:rsidR="005820B5" w:rsidRPr="002B1CBF" w:rsidRDefault="005820B5" w:rsidP="002B1CBF">
      <w:pPr>
        <w:jc w:val="both"/>
        <w:rPr>
          <w:rFonts w:ascii="Arial" w:hAnsi="Arial" w:cs="Arial"/>
          <w:sz w:val="24"/>
          <w:szCs w:val="24"/>
        </w:rPr>
      </w:pPr>
    </w:p>
    <w:bookmarkEnd w:id="0"/>
    <w:p w14:paraId="12BCD18A" w14:textId="629FE20B" w:rsidR="002B1CBF" w:rsidRPr="002B1CBF" w:rsidRDefault="002B1CBF" w:rsidP="002B1CBF">
      <w:pPr>
        <w:pStyle w:val="xp1"/>
        <w:shd w:val="clear" w:color="auto" w:fill="FFFFFF"/>
        <w:jc w:val="both"/>
        <w:rPr>
          <w:rFonts w:ascii="Arial" w:hAnsi="Arial" w:cs="Arial"/>
          <w:b/>
          <w:bCs/>
          <w:color w:val="161A1E"/>
          <w:sz w:val="24"/>
          <w:szCs w:val="24"/>
        </w:rPr>
      </w:pPr>
      <w:r w:rsidRPr="002B1CBF">
        <w:rPr>
          <w:rFonts w:ascii="Arial" w:hAnsi="Arial" w:cs="Arial"/>
          <w:b/>
          <w:bCs/>
          <w:color w:val="161A1E"/>
          <w:sz w:val="24"/>
          <w:szCs w:val="24"/>
        </w:rPr>
        <w:t>COMMERCIALISTI: ANALISI SULLE NOVITA’ LEGISLATIVE E GIURISPRUDENZIALI RELATIVE ALL’INSOLVENZA IN AMBITO TRANSNAZIONALE</w:t>
      </w:r>
    </w:p>
    <w:p w14:paraId="319E6B06" w14:textId="3F16DE87" w:rsidR="002B1CBF" w:rsidRPr="002B1CBF" w:rsidRDefault="002B1CBF" w:rsidP="002B1CBF">
      <w:pPr>
        <w:jc w:val="both"/>
        <w:rPr>
          <w:rFonts w:ascii="Arial" w:eastAsia="Times New Roman" w:hAnsi="Arial" w:cs="Arial"/>
          <w:color w:val="000000"/>
          <w:sz w:val="24"/>
          <w:szCs w:val="24"/>
        </w:rPr>
      </w:pPr>
      <w:r w:rsidRPr="002B1CBF">
        <w:rPr>
          <w:rFonts w:ascii="Arial" w:eastAsia="Times New Roman" w:hAnsi="Arial" w:cs="Arial"/>
          <w:b/>
          <w:bCs/>
          <w:color w:val="000000"/>
          <w:sz w:val="24"/>
          <w:szCs w:val="24"/>
        </w:rPr>
        <w:t xml:space="preserve">Il Consiglio e la Fondazione </w:t>
      </w:r>
      <w:r>
        <w:rPr>
          <w:rFonts w:ascii="Arial" w:eastAsia="Times New Roman" w:hAnsi="Arial" w:cs="Arial"/>
          <w:b/>
          <w:bCs/>
          <w:color w:val="000000"/>
          <w:sz w:val="24"/>
          <w:szCs w:val="24"/>
        </w:rPr>
        <w:t>n</w:t>
      </w:r>
      <w:r w:rsidRPr="002B1CBF">
        <w:rPr>
          <w:rFonts w:ascii="Arial" w:eastAsia="Times New Roman" w:hAnsi="Arial" w:cs="Arial"/>
          <w:b/>
          <w:bCs/>
          <w:color w:val="000000"/>
          <w:sz w:val="24"/>
          <w:szCs w:val="24"/>
        </w:rPr>
        <w:t xml:space="preserve">azionali dei </w:t>
      </w:r>
      <w:r>
        <w:rPr>
          <w:rFonts w:ascii="Arial" w:eastAsia="Times New Roman" w:hAnsi="Arial" w:cs="Arial"/>
          <w:b/>
          <w:bCs/>
          <w:color w:val="000000"/>
          <w:sz w:val="24"/>
          <w:szCs w:val="24"/>
        </w:rPr>
        <w:t>c</w:t>
      </w:r>
      <w:r w:rsidRPr="002B1CBF">
        <w:rPr>
          <w:rFonts w:ascii="Arial" w:eastAsia="Times New Roman" w:hAnsi="Arial" w:cs="Arial"/>
          <w:b/>
          <w:bCs/>
          <w:color w:val="000000"/>
          <w:sz w:val="24"/>
          <w:szCs w:val="24"/>
        </w:rPr>
        <w:t>ommercialisti hanno pubblicato il terzo numero dell’Osservatorio Internazionale Crisi d’Impresa</w:t>
      </w:r>
    </w:p>
    <w:p w14:paraId="2AAFB423" w14:textId="77777777" w:rsidR="002B1CBF" w:rsidRPr="002B1CBF" w:rsidRDefault="002B1CBF" w:rsidP="002B1CBF">
      <w:pPr>
        <w:pStyle w:val="xp1"/>
        <w:shd w:val="clear" w:color="auto" w:fill="FFFFFF"/>
        <w:jc w:val="both"/>
        <w:rPr>
          <w:rFonts w:ascii="Arial" w:hAnsi="Arial" w:cs="Arial"/>
          <w:color w:val="161A1E"/>
          <w:sz w:val="24"/>
          <w:szCs w:val="24"/>
        </w:rPr>
      </w:pPr>
    </w:p>
    <w:p w14:paraId="781D527C" w14:textId="52DE8EB6" w:rsidR="002B1CBF" w:rsidRDefault="002B1CBF" w:rsidP="002B1CBF">
      <w:pPr>
        <w:pStyle w:val="xp3"/>
        <w:jc w:val="both"/>
        <w:rPr>
          <w:rStyle w:val="xapple-converted-space"/>
          <w:rFonts w:ascii="Arial" w:hAnsi="Arial" w:cs="Arial"/>
          <w:color w:val="000000"/>
          <w:sz w:val="24"/>
          <w:szCs w:val="24"/>
        </w:rPr>
      </w:pPr>
      <w:r w:rsidRPr="002B1CBF">
        <w:rPr>
          <w:rFonts w:ascii="Arial" w:hAnsi="Arial" w:cs="Arial"/>
          <w:i/>
          <w:iCs/>
          <w:color w:val="000000"/>
          <w:sz w:val="24"/>
          <w:szCs w:val="24"/>
        </w:rPr>
        <w:t>Roma</w:t>
      </w:r>
      <w:r w:rsidRPr="002B1CBF">
        <w:rPr>
          <w:rFonts w:ascii="Arial" w:hAnsi="Arial" w:cs="Arial"/>
          <w:i/>
          <w:iCs/>
          <w:color w:val="000000"/>
          <w:sz w:val="24"/>
          <w:szCs w:val="24"/>
        </w:rPr>
        <w:t>,</w:t>
      </w:r>
      <w:r w:rsidRPr="002B1CBF">
        <w:rPr>
          <w:rFonts w:ascii="Arial" w:hAnsi="Arial" w:cs="Arial"/>
          <w:i/>
          <w:iCs/>
          <w:color w:val="000000"/>
          <w:sz w:val="24"/>
          <w:szCs w:val="24"/>
        </w:rPr>
        <w:t xml:space="preserve"> 22 marzo 2021</w:t>
      </w:r>
      <w:r w:rsidRPr="002B1CBF">
        <w:rPr>
          <w:rFonts w:ascii="Arial" w:hAnsi="Arial" w:cs="Arial"/>
          <w:color w:val="000000"/>
          <w:sz w:val="24"/>
          <w:szCs w:val="24"/>
        </w:rPr>
        <w:t xml:space="preserve"> - Il Consiglio e la Fondazione </w:t>
      </w:r>
      <w:r w:rsidR="009D6ABC">
        <w:rPr>
          <w:rFonts w:ascii="Arial" w:hAnsi="Arial" w:cs="Arial"/>
          <w:color w:val="000000"/>
          <w:sz w:val="24"/>
          <w:szCs w:val="24"/>
        </w:rPr>
        <w:t>n</w:t>
      </w:r>
      <w:r w:rsidRPr="002B1CBF">
        <w:rPr>
          <w:rFonts w:ascii="Arial" w:hAnsi="Arial" w:cs="Arial"/>
          <w:color w:val="000000"/>
          <w:sz w:val="24"/>
          <w:szCs w:val="24"/>
        </w:rPr>
        <w:t xml:space="preserve">azionali dei </w:t>
      </w:r>
      <w:r w:rsidR="009D6ABC">
        <w:rPr>
          <w:rFonts w:ascii="Arial" w:hAnsi="Arial" w:cs="Arial"/>
          <w:color w:val="000000"/>
          <w:sz w:val="24"/>
          <w:szCs w:val="24"/>
        </w:rPr>
        <w:t>c</w:t>
      </w:r>
      <w:r w:rsidRPr="002B1CBF">
        <w:rPr>
          <w:rFonts w:ascii="Arial" w:hAnsi="Arial" w:cs="Arial"/>
          <w:color w:val="000000"/>
          <w:sz w:val="24"/>
          <w:szCs w:val="24"/>
        </w:rPr>
        <w:t>ommercialisti hanno pubblicato il terzo numero dell’Osservatorio Internazionale Crisi d’Impresa. Il Bollettino segnala le novità legislative e giurisprudenziali degli ultimi mesi relative all’insolvenza in ambito transnazionale.</w:t>
      </w:r>
      <w:r w:rsidR="009D6ABC">
        <w:rPr>
          <w:rFonts w:ascii="Arial" w:hAnsi="Arial" w:cs="Arial"/>
          <w:color w:val="000000"/>
          <w:sz w:val="24"/>
          <w:szCs w:val="24"/>
        </w:rPr>
        <w:t xml:space="preserve"> </w:t>
      </w:r>
      <w:r w:rsidR="009D6ABC" w:rsidRPr="002B1CBF">
        <w:rPr>
          <w:rFonts w:ascii="Arial" w:hAnsi="Arial" w:cs="Arial"/>
          <w:color w:val="000000"/>
          <w:sz w:val="24"/>
          <w:szCs w:val="24"/>
        </w:rPr>
        <w:t>Numerosi gli argomenti su cui si è focalizzata l’attenzione.</w:t>
      </w:r>
      <w:r w:rsidR="009D6ABC">
        <w:rPr>
          <w:rFonts w:ascii="Arial" w:hAnsi="Arial" w:cs="Arial"/>
          <w:color w:val="000000"/>
          <w:sz w:val="24"/>
          <w:szCs w:val="24"/>
        </w:rPr>
        <w:t xml:space="preserve"> </w:t>
      </w:r>
      <w:r w:rsidRPr="002B1CBF">
        <w:rPr>
          <w:rFonts w:ascii="Arial" w:hAnsi="Arial" w:cs="Arial"/>
          <w:color w:val="000000"/>
          <w:sz w:val="24"/>
          <w:szCs w:val="24"/>
        </w:rPr>
        <w:t xml:space="preserve">Per quanto </w:t>
      </w:r>
      <w:r w:rsidR="009D6ABC">
        <w:rPr>
          <w:rFonts w:ascii="Arial" w:hAnsi="Arial" w:cs="Arial"/>
          <w:color w:val="000000"/>
          <w:sz w:val="24"/>
          <w:szCs w:val="24"/>
        </w:rPr>
        <w:t xml:space="preserve">riguarda </w:t>
      </w:r>
      <w:r w:rsidRPr="002B1CBF">
        <w:rPr>
          <w:rFonts w:ascii="Arial" w:hAnsi="Arial" w:cs="Arial"/>
          <w:color w:val="000000"/>
          <w:sz w:val="24"/>
          <w:szCs w:val="24"/>
        </w:rPr>
        <w:t>l’Europa</w:t>
      </w:r>
      <w:r w:rsidR="009D6ABC">
        <w:rPr>
          <w:rFonts w:ascii="Arial" w:hAnsi="Arial" w:cs="Arial"/>
          <w:color w:val="000000"/>
          <w:sz w:val="24"/>
          <w:szCs w:val="24"/>
        </w:rPr>
        <w:t>,</w:t>
      </w:r>
      <w:r w:rsidRPr="002B1CBF">
        <w:rPr>
          <w:rFonts w:ascii="Arial" w:hAnsi="Arial" w:cs="Arial"/>
          <w:color w:val="000000"/>
          <w:sz w:val="24"/>
          <w:szCs w:val="24"/>
        </w:rPr>
        <w:t xml:space="preserve"> un approfondito esame è stato dedicato al sistema concorsuale e giudiziario post </w:t>
      </w:r>
      <w:r w:rsidR="009D6ABC">
        <w:rPr>
          <w:rFonts w:ascii="Arial" w:hAnsi="Arial" w:cs="Arial"/>
          <w:color w:val="000000"/>
          <w:sz w:val="24"/>
          <w:szCs w:val="24"/>
        </w:rPr>
        <w:t>B</w:t>
      </w:r>
      <w:r w:rsidRPr="002B1CBF">
        <w:rPr>
          <w:rFonts w:ascii="Arial" w:hAnsi="Arial" w:cs="Arial"/>
          <w:color w:val="000000"/>
          <w:sz w:val="24"/>
          <w:szCs w:val="24"/>
        </w:rPr>
        <w:t>rexit; spostando l’attenzione sugli altri continenti, si è iniziato a monitorare con maggior attenzione quanto accade in Africa, nei Paesi Arabi, in Asia e in America latina anche grazie alla preziosa collaborazione di esperti stranieri.</w:t>
      </w:r>
    </w:p>
    <w:p w14:paraId="4F0C5BC4" w14:textId="77777777" w:rsidR="009D6ABC" w:rsidRPr="002B1CBF" w:rsidRDefault="009D6ABC" w:rsidP="002B1CBF">
      <w:pPr>
        <w:pStyle w:val="xp3"/>
        <w:jc w:val="both"/>
        <w:rPr>
          <w:rFonts w:ascii="Arial" w:hAnsi="Arial" w:cs="Arial"/>
          <w:color w:val="000000"/>
          <w:sz w:val="24"/>
          <w:szCs w:val="24"/>
        </w:rPr>
      </w:pPr>
    </w:p>
    <w:p w14:paraId="17F258F5" w14:textId="2AA0D921" w:rsidR="002B1CBF" w:rsidRDefault="002B1CBF" w:rsidP="002B1CBF">
      <w:pPr>
        <w:pStyle w:val="xp3"/>
        <w:jc w:val="both"/>
        <w:rPr>
          <w:rStyle w:val="xapple-converted-space"/>
          <w:rFonts w:ascii="Arial" w:hAnsi="Arial" w:cs="Arial"/>
          <w:color w:val="000000"/>
          <w:sz w:val="24"/>
          <w:szCs w:val="24"/>
        </w:rPr>
      </w:pPr>
      <w:r w:rsidRPr="002B1CBF">
        <w:rPr>
          <w:rFonts w:ascii="Arial" w:hAnsi="Arial" w:cs="Arial"/>
          <w:color w:val="000000"/>
          <w:sz w:val="24"/>
          <w:szCs w:val="24"/>
        </w:rPr>
        <w:t xml:space="preserve">Di particolare interesse la sezione rivolta alle </w:t>
      </w:r>
      <w:r w:rsidR="009D6ABC">
        <w:rPr>
          <w:rFonts w:ascii="Arial" w:hAnsi="Arial" w:cs="Arial"/>
          <w:color w:val="000000"/>
          <w:sz w:val="24"/>
          <w:szCs w:val="24"/>
        </w:rPr>
        <w:t>“</w:t>
      </w:r>
      <w:r w:rsidRPr="002B1CBF">
        <w:rPr>
          <w:rFonts w:ascii="Arial" w:hAnsi="Arial" w:cs="Arial"/>
          <w:color w:val="000000"/>
          <w:sz w:val="24"/>
          <w:szCs w:val="24"/>
        </w:rPr>
        <w:t>Novità giurisprudenziali</w:t>
      </w:r>
      <w:r w:rsidR="009D6ABC">
        <w:rPr>
          <w:rFonts w:ascii="Arial" w:hAnsi="Arial" w:cs="Arial"/>
          <w:color w:val="000000"/>
          <w:sz w:val="24"/>
          <w:szCs w:val="24"/>
        </w:rPr>
        <w:t>”</w:t>
      </w:r>
      <w:r w:rsidRPr="002B1CBF">
        <w:rPr>
          <w:rFonts w:ascii="Arial" w:hAnsi="Arial" w:cs="Arial"/>
          <w:color w:val="000000"/>
          <w:sz w:val="24"/>
          <w:szCs w:val="24"/>
        </w:rPr>
        <w:t>: oltre alla rassegna delle procedure di maggior rilevanza aperte negli ultimi mesi, sono segnalati gli sviluppi di alcuni casi già selezionati ed esaminati nei numeri precedenti dell’osservatorio. Con particolar riguardo alle procedure di Chapter 11, utile schema di riferimento anche in una prospettiva di auspicabile adeguamento da parte del legislatore interno rispetto alle esigenze di semplificazione ed efficientamento delle procedure (in termini di durata e di soddisfazione dei creditori), le informazioni raccolte mostrano come, in prevalenza, la ristrutturazione avvenga con il coinvolgimento dei creditori che in passato hanno erogato finanziamenti garantiti da pegno (lien) sul complesso delle attività.</w:t>
      </w:r>
    </w:p>
    <w:p w14:paraId="6568D4F6" w14:textId="77777777" w:rsidR="009D6ABC" w:rsidRPr="002B1CBF" w:rsidRDefault="009D6ABC" w:rsidP="002B1CBF">
      <w:pPr>
        <w:pStyle w:val="xp3"/>
        <w:jc w:val="both"/>
        <w:rPr>
          <w:rFonts w:ascii="Arial" w:hAnsi="Arial" w:cs="Arial"/>
          <w:color w:val="000000"/>
          <w:sz w:val="24"/>
          <w:szCs w:val="24"/>
        </w:rPr>
      </w:pPr>
    </w:p>
    <w:p w14:paraId="474B76DC" w14:textId="0605874A" w:rsidR="002B1CBF" w:rsidRDefault="002B1CBF" w:rsidP="002B1CBF">
      <w:pPr>
        <w:pStyle w:val="xp3"/>
        <w:jc w:val="both"/>
        <w:rPr>
          <w:rStyle w:val="xapple-converted-space"/>
          <w:rFonts w:ascii="Arial" w:hAnsi="Arial" w:cs="Arial"/>
          <w:color w:val="000000"/>
          <w:sz w:val="24"/>
          <w:szCs w:val="24"/>
        </w:rPr>
      </w:pPr>
      <w:r w:rsidRPr="002B1CBF">
        <w:rPr>
          <w:rFonts w:ascii="Arial" w:hAnsi="Arial" w:cs="Arial"/>
          <w:color w:val="000000"/>
          <w:sz w:val="24"/>
          <w:szCs w:val="24"/>
        </w:rPr>
        <w:t>Frequente</w:t>
      </w:r>
      <w:r w:rsidR="009D6ABC">
        <w:rPr>
          <w:rFonts w:ascii="Arial" w:hAnsi="Arial" w:cs="Arial"/>
          <w:color w:val="000000"/>
          <w:sz w:val="24"/>
          <w:szCs w:val="24"/>
        </w:rPr>
        <w:t>,</w:t>
      </w:r>
      <w:r w:rsidRPr="002B1CBF">
        <w:rPr>
          <w:rFonts w:ascii="Arial" w:hAnsi="Arial" w:cs="Arial"/>
          <w:color w:val="000000"/>
          <w:sz w:val="24"/>
          <w:szCs w:val="24"/>
        </w:rPr>
        <w:t xml:space="preserve"> inoltre</w:t>
      </w:r>
      <w:r w:rsidR="009D6ABC">
        <w:rPr>
          <w:rFonts w:ascii="Arial" w:hAnsi="Arial" w:cs="Arial"/>
          <w:color w:val="000000"/>
          <w:sz w:val="24"/>
          <w:szCs w:val="24"/>
        </w:rPr>
        <w:t>,</w:t>
      </w:r>
      <w:r w:rsidRPr="002B1CBF">
        <w:rPr>
          <w:rFonts w:ascii="Arial" w:hAnsi="Arial" w:cs="Arial"/>
          <w:color w:val="000000"/>
          <w:sz w:val="24"/>
          <w:szCs w:val="24"/>
        </w:rPr>
        <w:t xml:space="preserve"> il ricorso alla pianificazione e negoziazione con i creditori in un momento anteriore alla procedura. Al prepackaged, che ha rappresentato uno dei temi principali del terzo numero, è altresì dedicata parte della sezione </w:t>
      </w:r>
      <w:r w:rsidR="009D6ABC">
        <w:rPr>
          <w:rFonts w:ascii="Arial" w:hAnsi="Arial" w:cs="Arial"/>
          <w:color w:val="000000"/>
          <w:sz w:val="24"/>
          <w:szCs w:val="24"/>
        </w:rPr>
        <w:t>“</w:t>
      </w:r>
      <w:r w:rsidRPr="002B1CBF">
        <w:rPr>
          <w:rFonts w:ascii="Arial" w:hAnsi="Arial" w:cs="Arial"/>
          <w:color w:val="000000"/>
          <w:sz w:val="24"/>
          <w:szCs w:val="24"/>
        </w:rPr>
        <w:t>Protocolli e buone prassi</w:t>
      </w:r>
      <w:r w:rsidR="009D6ABC">
        <w:rPr>
          <w:rFonts w:ascii="Arial" w:hAnsi="Arial" w:cs="Arial"/>
          <w:color w:val="000000"/>
          <w:sz w:val="24"/>
          <w:szCs w:val="24"/>
        </w:rPr>
        <w:t>”</w:t>
      </w:r>
      <w:r w:rsidRPr="002B1CBF">
        <w:rPr>
          <w:rFonts w:ascii="Arial" w:hAnsi="Arial" w:cs="Arial"/>
          <w:color w:val="000000"/>
          <w:sz w:val="24"/>
          <w:szCs w:val="24"/>
        </w:rPr>
        <w:t xml:space="preserve">, nell’ambito della quale viene presentato </w:t>
      </w:r>
      <w:r w:rsidR="009D6ABC">
        <w:rPr>
          <w:rFonts w:ascii="Arial" w:hAnsi="Arial" w:cs="Arial"/>
          <w:color w:val="000000"/>
          <w:sz w:val="24"/>
          <w:szCs w:val="24"/>
        </w:rPr>
        <w:t xml:space="preserve">il </w:t>
      </w:r>
      <w:r w:rsidRPr="002B1CBF">
        <w:rPr>
          <w:rFonts w:ascii="Arial" w:hAnsi="Arial" w:cs="Arial"/>
          <w:color w:val="000000"/>
          <w:sz w:val="24"/>
          <w:szCs w:val="24"/>
        </w:rPr>
        <w:t>protocollo stilato dai giudici de Lo Mercantil del Tribunale di Barcellona per l’attuazione del pre-pack concorsual.</w:t>
      </w:r>
    </w:p>
    <w:p w14:paraId="6F644FB5" w14:textId="77777777" w:rsidR="009D6ABC" w:rsidRPr="002B1CBF" w:rsidRDefault="009D6ABC" w:rsidP="002B1CBF">
      <w:pPr>
        <w:pStyle w:val="xp3"/>
        <w:jc w:val="both"/>
        <w:rPr>
          <w:rFonts w:ascii="Arial" w:hAnsi="Arial" w:cs="Arial"/>
          <w:color w:val="000000"/>
          <w:sz w:val="24"/>
          <w:szCs w:val="24"/>
        </w:rPr>
      </w:pPr>
    </w:p>
    <w:p w14:paraId="383B8BDF" w14:textId="10ECF963" w:rsidR="009D6ABC" w:rsidRDefault="002B1CBF" w:rsidP="002B1CBF">
      <w:pPr>
        <w:pStyle w:val="xp3"/>
        <w:jc w:val="both"/>
        <w:rPr>
          <w:rFonts w:ascii="Arial" w:hAnsi="Arial" w:cs="Arial"/>
          <w:color w:val="000000"/>
          <w:sz w:val="24"/>
          <w:szCs w:val="24"/>
        </w:rPr>
      </w:pPr>
      <w:r w:rsidRPr="002B1CBF">
        <w:rPr>
          <w:rFonts w:ascii="Arial" w:hAnsi="Arial" w:cs="Arial"/>
          <w:color w:val="000000"/>
          <w:sz w:val="24"/>
          <w:szCs w:val="24"/>
        </w:rPr>
        <w:t>Nella sezione dedicata alle altre notizie di interesse, vengono segnalati casi relativi a crisi aziendali di settore (prima tra tutte la crisi del settore aereo), ovvero casi in cui sono state intraprese misure per la salvaguardia dei livelli occupazionali attraverso specifici percorsi formativi del personale, o anche decisioni di particolare interesse ai fini del monitoraggio del formante giurisprudenziale che si sta sviluppando, ai tempi di pandemia, in ordine a specifiche questioni relative all’interpretazione dei contratti in corso.</w:t>
      </w:r>
    </w:p>
    <w:p w14:paraId="6E2809D4" w14:textId="77777777" w:rsidR="009D6ABC" w:rsidRDefault="009D6ABC" w:rsidP="002B1CBF">
      <w:pPr>
        <w:pStyle w:val="xp3"/>
        <w:jc w:val="both"/>
        <w:rPr>
          <w:rFonts w:ascii="Arial" w:hAnsi="Arial" w:cs="Arial"/>
          <w:color w:val="000000"/>
          <w:sz w:val="24"/>
          <w:szCs w:val="24"/>
        </w:rPr>
      </w:pPr>
    </w:p>
    <w:p w14:paraId="249210ED" w14:textId="6EA6D2AC" w:rsidR="00C90000" w:rsidRPr="002B1CBF" w:rsidRDefault="002B1CBF" w:rsidP="009D6ABC">
      <w:pPr>
        <w:pStyle w:val="xp3"/>
        <w:jc w:val="both"/>
        <w:rPr>
          <w:rFonts w:ascii="Arial" w:hAnsi="Arial" w:cs="Arial"/>
          <w:color w:val="333333"/>
          <w:sz w:val="24"/>
          <w:szCs w:val="24"/>
        </w:rPr>
      </w:pPr>
      <w:r w:rsidRPr="002B1CBF">
        <w:rPr>
          <w:rFonts w:ascii="Arial" w:hAnsi="Arial" w:cs="Arial"/>
          <w:color w:val="000000"/>
          <w:sz w:val="24"/>
          <w:szCs w:val="24"/>
        </w:rPr>
        <w:t>In particolare, l’aspetto delle locazioni è affrontato nella prospettiva della comparazione con le soluzioni intraprese in Spagna, negli Stati Uniti e in Canada, anche nella sezione dedicata agli Approfondimenti: nel terzo numero, la dettagliata analisi del piano di ristrutturazione del celebre marchio di fitness Virgin Active Europe, l’esame della nuova legge brasiliana sull’insolvenza, la ricognizione delle riforme intraprese nel mondo arabo e nei paesi dell’Africa del Nord e l’evoluzione della normativa sull’insolvenza del consumatore in Cina si affiancano alla trattazione relativa alla sorte delle locazioni nelle procedure di ristrutturazione avviate ai tempi del Covid-19.</w:t>
      </w:r>
    </w:p>
    <w:sectPr w:rsidR="00C90000" w:rsidRPr="002B1CB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C2406" w14:textId="77777777" w:rsidR="00CF4F08" w:rsidRDefault="00CF4F08" w:rsidP="0078332C">
      <w:r>
        <w:separator/>
      </w:r>
    </w:p>
  </w:endnote>
  <w:endnote w:type="continuationSeparator" w:id="0">
    <w:p w14:paraId="57A73528" w14:textId="77777777" w:rsidR="00CF4F08" w:rsidRDefault="00CF4F08"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tcCenturyLight">
    <w:altName w:val="Calibri"/>
    <w:panose1 w:val="00000000000000000000"/>
    <w:charset w:val="00"/>
    <w:family w:val="auto"/>
    <w:notTrueType/>
    <w:pitch w:val="default"/>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5036" w14:textId="77777777" w:rsidR="00A8475F" w:rsidRDefault="00A847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0A7D9" w14:textId="77777777" w:rsidR="0078332C" w:rsidRDefault="0078332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18A3E" w14:textId="77777777" w:rsidR="00A8475F" w:rsidRDefault="00A847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D4E72" w14:textId="77777777" w:rsidR="00CF4F08" w:rsidRDefault="00CF4F08" w:rsidP="0078332C">
      <w:r>
        <w:separator/>
      </w:r>
    </w:p>
  </w:footnote>
  <w:footnote w:type="continuationSeparator" w:id="0">
    <w:p w14:paraId="35284504" w14:textId="77777777" w:rsidR="00CF4F08" w:rsidRDefault="00CF4F08"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96A47" w14:textId="77777777" w:rsidR="00A8475F" w:rsidRDefault="00A847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78BD2" w14:textId="77777777"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2D953BCC" wp14:editId="5123D481">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D7146" w14:textId="77777777" w:rsidR="00A8475F" w:rsidRDefault="00A847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41E8C"/>
    <w:multiLevelType w:val="hybridMultilevel"/>
    <w:tmpl w:val="A56A7BB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4881C9C"/>
    <w:multiLevelType w:val="multilevel"/>
    <w:tmpl w:val="7DBE6E6C"/>
    <w:styleLink w:val="List0"/>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2" w15:restartNumberingAfterBreak="0">
    <w:nsid w:val="46432F4A"/>
    <w:multiLevelType w:val="hybridMultilevel"/>
    <w:tmpl w:val="8C9CE826"/>
    <w:lvl w:ilvl="0" w:tplc="8A72C596">
      <w:start w:val="16"/>
      <w:numFmt w:val="bullet"/>
      <w:lvlText w:val="-"/>
      <w:lvlJc w:val="left"/>
      <w:pPr>
        <w:ind w:left="720" w:hanging="360"/>
      </w:pPr>
      <w:rPr>
        <w:rFonts w:ascii="Garamond" w:eastAsia="Calibri" w:hAnsi="Garamond"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15214"/>
    <w:rsid w:val="00017FFB"/>
    <w:rsid w:val="00020686"/>
    <w:rsid w:val="000329A4"/>
    <w:rsid w:val="00044942"/>
    <w:rsid w:val="000475E9"/>
    <w:rsid w:val="0006018A"/>
    <w:rsid w:val="00062B83"/>
    <w:rsid w:val="00072530"/>
    <w:rsid w:val="000827FF"/>
    <w:rsid w:val="00096075"/>
    <w:rsid w:val="00097834"/>
    <w:rsid w:val="000A2E79"/>
    <w:rsid w:val="000A7327"/>
    <w:rsid w:val="000B70CE"/>
    <w:rsid w:val="000C19B1"/>
    <w:rsid w:val="000F42D0"/>
    <w:rsid w:val="00103B90"/>
    <w:rsid w:val="0011783B"/>
    <w:rsid w:val="00121C2D"/>
    <w:rsid w:val="0012370B"/>
    <w:rsid w:val="001267CB"/>
    <w:rsid w:val="00154327"/>
    <w:rsid w:val="00161D26"/>
    <w:rsid w:val="00163F34"/>
    <w:rsid w:val="0016745A"/>
    <w:rsid w:val="00191BB6"/>
    <w:rsid w:val="00192936"/>
    <w:rsid w:val="001A2B04"/>
    <w:rsid w:val="001A4E5D"/>
    <w:rsid w:val="001B6C5C"/>
    <w:rsid w:val="001C7D62"/>
    <w:rsid w:val="001C7E5F"/>
    <w:rsid w:val="001D06B4"/>
    <w:rsid w:val="001F0AE5"/>
    <w:rsid w:val="002007EC"/>
    <w:rsid w:val="00202E49"/>
    <w:rsid w:val="00212A8E"/>
    <w:rsid w:val="002142BA"/>
    <w:rsid w:val="00223824"/>
    <w:rsid w:val="0023101D"/>
    <w:rsid w:val="00250C06"/>
    <w:rsid w:val="002529F6"/>
    <w:rsid w:val="002608B8"/>
    <w:rsid w:val="00261702"/>
    <w:rsid w:val="00272EB0"/>
    <w:rsid w:val="00273B0D"/>
    <w:rsid w:val="00281281"/>
    <w:rsid w:val="00282F12"/>
    <w:rsid w:val="002957AC"/>
    <w:rsid w:val="002A1399"/>
    <w:rsid w:val="002A7FD0"/>
    <w:rsid w:val="002B033F"/>
    <w:rsid w:val="002B1CBF"/>
    <w:rsid w:val="002B41C8"/>
    <w:rsid w:val="002B5416"/>
    <w:rsid w:val="002D2034"/>
    <w:rsid w:val="002D35A4"/>
    <w:rsid w:val="002D41C3"/>
    <w:rsid w:val="002D565B"/>
    <w:rsid w:val="002D77D5"/>
    <w:rsid w:val="002E19A4"/>
    <w:rsid w:val="002E4091"/>
    <w:rsid w:val="002E5779"/>
    <w:rsid w:val="002F21AA"/>
    <w:rsid w:val="002F6C28"/>
    <w:rsid w:val="00305148"/>
    <w:rsid w:val="00305638"/>
    <w:rsid w:val="003067AD"/>
    <w:rsid w:val="00310913"/>
    <w:rsid w:val="00322E62"/>
    <w:rsid w:val="003318BE"/>
    <w:rsid w:val="00332874"/>
    <w:rsid w:val="0033358C"/>
    <w:rsid w:val="003349F2"/>
    <w:rsid w:val="00342912"/>
    <w:rsid w:val="0035492F"/>
    <w:rsid w:val="003675FA"/>
    <w:rsid w:val="00373804"/>
    <w:rsid w:val="003846CE"/>
    <w:rsid w:val="003A48BD"/>
    <w:rsid w:val="003A50F9"/>
    <w:rsid w:val="003A7B1F"/>
    <w:rsid w:val="003B7AA7"/>
    <w:rsid w:val="003C0323"/>
    <w:rsid w:val="003D0BF2"/>
    <w:rsid w:val="003D3E18"/>
    <w:rsid w:val="003E0F52"/>
    <w:rsid w:val="003F6088"/>
    <w:rsid w:val="003F65EE"/>
    <w:rsid w:val="003F6670"/>
    <w:rsid w:val="0042041A"/>
    <w:rsid w:val="00442A08"/>
    <w:rsid w:val="00444F7A"/>
    <w:rsid w:val="004548F0"/>
    <w:rsid w:val="00460B34"/>
    <w:rsid w:val="00477C67"/>
    <w:rsid w:val="00480469"/>
    <w:rsid w:val="00491911"/>
    <w:rsid w:val="004952FC"/>
    <w:rsid w:val="00497FD8"/>
    <w:rsid w:val="004A3A69"/>
    <w:rsid w:val="004B1132"/>
    <w:rsid w:val="004B2695"/>
    <w:rsid w:val="004C38F7"/>
    <w:rsid w:val="004C48E3"/>
    <w:rsid w:val="004D4A49"/>
    <w:rsid w:val="004D4F0F"/>
    <w:rsid w:val="004D72EF"/>
    <w:rsid w:val="004E7E5A"/>
    <w:rsid w:val="004F0F61"/>
    <w:rsid w:val="00512E22"/>
    <w:rsid w:val="00534E31"/>
    <w:rsid w:val="00537DC7"/>
    <w:rsid w:val="00543860"/>
    <w:rsid w:val="00545007"/>
    <w:rsid w:val="00546289"/>
    <w:rsid w:val="00546BF0"/>
    <w:rsid w:val="00555885"/>
    <w:rsid w:val="00570197"/>
    <w:rsid w:val="00572EB5"/>
    <w:rsid w:val="0058002D"/>
    <w:rsid w:val="005816F1"/>
    <w:rsid w:val="005820B5"/>
    <w:rsid w:val="00585283"/>
    <w:rsid w:val="00590C67"/>
    <w:rsid w:val="00590F83"/>
    <w:rsid w:val="005919FB"/>
    <w:rsid w:val="00592657"/>
    <w:rsid w:val="005A5486"/>
    <w:rsid w:val="005A7275"/>
    <w:rsid w:val="005C7544"/>
    <w:rsid w:val="005D6B7B"/>
    <w:rsid w:val="005D6EB9"/>
    <w:rsid w:val="005E297D"/>
    <w:rsid w:val="005E4BD4"/>
    <w:rsid w:val="005F0C58"/>
    <w:rsid w:val="005F5B57"/>
    <w:rsid w:val="005F7845"/>
    <w:rsid w:val="00620212"/>
    <w:rsid w:val="00626E59"/>
    <w:rsid w:val="00626E68"/>
    <w:rsid w:val="006273CC"/>
    <w:rsid w:val="00630985"/>
    <w:rsid w:val="00641C3C"/>
    <w:rsid w:val="006467C7"/>
    <w:rsid w:val="00650D2D"/>
    <w:rsid w:val="00666206"/>
    <w:rsid w:val="00671C27"/>
    <w:rsid w:val="00675FE8"/>
    <w:rsid w:val="00677A10"/>
    <w:rsid w:val="00690F68"/>
    <w:rsid w:val="0069410F"/>
    <w:rsid w:val="006A5AEA"/>
    <w:rsid w:val="006B058D"/>
    <w:rsid w:val="006B3458"/>
    <w:rsid w:val="006C2F6E"/>
    <w:rsid w:val="006C3CAC"/>
    <w:rsid w:val="006C7100"/>
    <w:rsid w:val="006D236C"/>
    <w:rsid w:val="006D387C"/>
    <w:rsid w:val="006D5899"/>
    <w:rsid w:val="006D60D3"/>
    <w:rsid w:val="006E2989"/>
    <w:rsid w:val="006E2EA4"/>
    <w:rsid w:val="006E37FC"/>
    <w:rsid w:val="006F175A"/>
    <w:rsid w:val="006F70F8"/>
    <w:rsid w:val="007114F1"/>
    <w:rsid w:val="00720024"/>
    <w:rsid w:val="0074254F"/>
    <w:rsid w:val="00752C6B"/>
    <w:rsid w:val="00764D9D"/>
    <w:rsid w:val="00775661"/>
    <w:rsid w:val="00782159"/>
    <w:rsid w:val="0078332C"/>
    <w:rsid w:val="00794FCF"/>
    <w:rsid w:val="007A7E77"/>
    <w:rsid w:val="007B47B4"/>
    <w:rsid w:val="007B6AC0"/>
    <w:rsid w:val="007B7197"/>
    <w:rsid w:val="007C14B1"/>
    <w:rsid w:val="007D030A"/>
    <w:rsid w:val="007D4761"/>
    <w:rsid w:val="007D6905"/>
    <w:rsid w:val="007E25D0"/>
    <w:rsid w:val="007F7ECA"/>
    <w:rsid w:val="00800937"/>
    <w:rsid w:val="008267D2"/>
    <w:rsid w:val="008328AD"/>
    <w:rsid w:val="0084360C"/>
    <w:rsid w:val="00845A96"/>
    <w:rsid w:val="008538EB"/>
    <w:rsid w:val="008543B0"/>
    <w:rsid w:val="00865C99"/>
    <w:rsid w:val="00872890"/>
    <w:rsid w:val="00873848"/>
    <w:rsid w:val="00875736"/>
    <w:rsid w:val="008823BE"/>
    <w:rsid w:val="008866FA"/>
    <w:rsid w:val="00892C1F"/>
    <w:rsid w:val="008A09EA"/>
    <w:rsid w:val="008A6D39"/>
    <w:rsid w:val="008C04C4"/>
    <w:rsid w:val="008D69D8"/>
    <w:rsid w:val="009051EC"/>
    <w:rsid w:val="00924F9F"/>
    <w:rsid w:val="0093096C"/>
    <w:rsid w:val="00951A3C"/>
    <w:rsid w:val="00961263"/>
    <w:rsid w:val="00963401"/>
    <w:rsid w:val="00986756"/>
    <w:rsid w:val="00997933"/>
    <w:rsid w:val="009B6165"/>
    <w:rsid w:val="009D138B"/>
    <w:rsid w:val="009D485A"/>
    <w:rsid w:val="009D634A"/>
    <w:rsid w:val="009D6ABC"/>
    <w:rsid w:val="009F3B00"/>
    <w:rsid w:val="00A07FB9"/>
    <w:rsid w:val="00A12594"/>
    <w:rsid w:val="00A14347"/>
    <w:rsid w:val="00A14764"/>
    <w:rsid w:val="00A26406"/>
    <w:rsid w:val="00A34135"/>
    <w:rsid w:val="00A35A75"/>
    <w:rsid w:val="00A4420A"/>
    <w:rsid w:val="00A47FEA"/>
    <w:rsid w:val="00A56C23"/>
    <w:rsid w:val="00A67348"/>
    <w:rsid w:val="00A7311A"/>
    <w:rsid w:val="00A74A8A"/>
    <w:rsid w:val="00A837E6"/>
    <w:rsid w:val="00A8475F"/>
    <w:rsid w:val="00A95375"/>
    <w:rsid w:val="00A96364"/>
    <w:rsid w:val="00A978FD"/>
    <w:rsid w:val="00A9798E"/>
    <w:rsid w:val="00AA7145"/>
    <w:rsid w:val="00AB5991"/>
    <w:rsid w:val="00AB7ADE"/>
    <w:rsid w:val="00AD6437"/>
    <w:rsid w:val="00AE0EB1"/>
    <w:rsid w:val="00AE1B46"/>
    <w:rsid w:val="00AE3DBA"/>
    <w:rsid w:val="00AF1493"/>
    <w:rsid w:val="00AF37AC"/>
    <w:rsid w:val="00AF3B8B"/>
    <w:rsid w:val="00AF593F"/>
    <w:rsid w:val="00B01322"/>
    <w:rsid w:val="00B02EEF"/>
    <w:rsid w:val="00B0348B"/>
    <w:rsid w:val="00B14747"/>
    <w:rsid w:val="00B169EB"/>
    <w:rsid w:val="00B244EE"/>
    <w:rsid w:val="00B2607D"/>
    <w:rsid w:val="00B37BB9"/>
    <w:rsid w:val="00B55401"/>
    <w:rsid w:val="00B608D6"/>
    <w:rsid w:val="00B77DD8"/>
    <w:rsid w:val="00B80328"/>
    <w:rsid w:val="00B82041"/>
    <w:rsid w:val="00B874BD"/>
    <w:rsid w:val="00B93B7C"/>
    <w:rsid w:val="00B96F60"/>
    <w:rsid w:val="00BC1E17"/>
    <w:rsid w:val="00BC4560"/>
    <w:rsid w:val="00BC766D"/>
    <w:rsid w:val="00BD0510"/>
    <w:rsid w:val="00BE4997"/>
    <w:rsid w:val="00BF6F48"/>
    <w:rsid w:val="00C03728"/>
    <w:rsid w:val="00C12899"/>
    <w:rsid w:val="00C13B95"/>
    <w:rsid w:val="00C26374"/>
    <w:rsid w:val="00C27CA3"/>
    <w:rsid w:val="00C342D6"/>
    <w:rsid w:val="00C528AF"/>
    <w:rsid w:val="00C6126D"/>
    <w:rsid w:val="00C82E4F"/>
    <w:rsid w:val="00C90000"/>
    <w:rsid w:val="00C9107A"/>
    <w:rsid w:val="00C92A52"/>
    <w:rsid w:val="00C92F98"/>
    <w:rsid w:val="00C93B05"/>
    <w:rsid w:val="00CA234F"/>
    <w:rsid w:val="00CA5B6F"/>
    <w:rsid w:val="00CB51DE"/>
    <w:rsid w:val="00CC1A3B"/>
    <w:rsid w:val="00CD17A1"/>
    <w:rsid w:val="00CE0295"/>
    <w:rsid w:val="00CE493C"/>
    <w:rsid w:val="00CF3E5E"/>
    <w:rsid w:val="00CF4F08"/>
    <w:rsid w:val="00CF5AAB"/>
    <w:rsid w:val="00D0565B"/>
    <w:rsid w:val="00D10DE0"/>
    <w:rsid w:val="00D16030"/>
    <w:rsid w:val="00D20C91"/>
    <w:rsid w:val="00D23EE4"/>
    <w:rsid w:val="00D267BC"/>
    <w:rsid w:val="00D301C8"/>
    <w:rsid w:val="00D3620A"/>
    <w:rsid w:val="00D36928"/>
    <w:rsid w:val="00D61E3E"/>
    <w:rsid w:val="00D645B8"/>
    <w:rsid w:val="00D8228E"/>
    <w:rsid w:val="00D86C56"/>
    <w:rsid w:val="00DA0174"/>
    <w:rsid w:val="00DA0468"/>
    <w:rsid w:val="00DA57E3"/>
    <w:rsid w:val="00DB31F0"/>
    <w:rsid w:val="00DF1387"/>
    <w:rsid w:val="00DF7F3F"/>
    <w:rsid w:val="00E00108"/>
    <w:rsid w:val="00E018F4"/>
    <w:rsid w:val="00E34AB1"/>
    <w:rsid w:val="00E43464"/>
    <w:rsid w:val="00E512F2"/>
    <w:rsid w:val="00E82696"/>
    <w:rsid w:val="00E83254"/>
    <w:rsid w:val="00E92062"/>
    <w:rsid w:val="00E96CB8"/>
    <w:rsid w:val="00E97BC0"/>
    <w:rsid w:val="00EB4A49"/>
    <w:rsid w:val="00EC6A83"/>
    <w:rsid w:val="00EC74C8"/>
    <w:rsid w:val="00ED2BA2"/>
    <w:rsid w:val="00ED7E04"/>
    <w:rsid w:val="00EE0275"/>
    <w:rsid w:val="00EE61E7"/>
    <w:rsid w:val="00EE7FC7"/>
    <w:rsid w:val="00EF3839"/>
    <w:rsid w:val="00EF5B0E"/>
    <w:rsid w:val="00F12009"/>
    <w:rsid w:val="00F12406"/>
    <w:rsid w:val="00F141DB"/>
    <w:rsid w:val="00F14F90"/>
    <w:rsid w:val="00F163A3"/>
    <w:rsid w:val="00F20639"/>
    <w:rsid w:val="00F2596D"/>
    <w:rsid w:val="00F409A6"/>
    <w:rsid w:val="00F50B95"/>
    <w:rsid w:val="00F5457A"/>
    <w:rsid w:val="00F601CB"/>
    <w:rsid w:val="00F7125B"/>
    <w:rsid w:val="00F73AC3"/>
    <w:rsid w:val="00F85998"/>
    <w:rsid w:val="00F97331"/>
    <w:rsid w:val="00FA0B81"/>
    <w:rsid w:val="00FA561E"/>
    <w:rsid w:val="00FA62A2"/>
    <w:rsid w:val="00FA67B4"/>
    <w:rsid w:val="00FB039F"/>
    <w:rsid w:val="00FB3722"/>
    <w:rsid w:val="00FC274B"/>
    <w:rsid w:val="00FC600A"/>
    <w:rsid w:val="00FE0498"/>
    <w:rsid w:val="00FE070C"/>
    <w:rsid w:val="00FE7799"/>
    <w:rsid w:val="00FF2981"/>
    <w:rsid w:val="00FF3670"/>
    <w:rsid w:val="00FF60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64A13"/>
  <w15:chartTrackingRefBased/>
  <w15:docId w15:val="{C3D09AC2-497A-4FBC-ABF2-BE5859A1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6D38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semiHidden/>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semiHidden/>
    <w:rsid w:val="00191BB6"/>
    <w:rPr>
      <w:rFonts w:ascii="Calibri" w:hAnsi="Calibri" w:cs="Consolas"/>
      <w:szCs w:val="21"/>
    </w:rPr>
  </w:style>
  <w:style w:type="paragraph" w:customStyle="1" w:styleId="cpv">
    <w:name w:val="cpv"/>
    <w:uiPriority w:val="99"/>
    <w:rsid w:val="00A26406"/>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6406"/>
    <w:rPr>
      <w:color w:val="0563C1" w:themeColor="hyperlink"/>
      <w:u w:val="single"/>
    </w:rPr>
  </w:style>
  <w:style w:type="numbering" w:customStyle="1" w:styleId="List0">
    <w:name w:val="List 0"/>
    <w:basedOn w:val="Nessunelenco"/>
    <w:rsid w:val="000475E9"/>
    <w:pPr>
      <w:numPr>
        <w:numId w:val="1"/>
      </w:numPr>
    </w:pPr>
  </w:style>
  <w:style w:type="paragraph" w:styleId="Testofumetto">
    <w:name w:val="Balloon Text"/>
    <w:basedOn w:val="Normale"/>
    <w:link w:val="TestofumettoCarattere"/>
    <w:uiPriority w:val="99"/>
    <w:semiHidden/>
    <w:unhideWhenUsed/>
    <w:rsid w:val="00EE027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0275"/>
    <w:rPr>
      <w:rFonts w:ascii="Segoe UI" w:hAnsi="Segoe UI" w:cs="Segoe UI"/>
      <w:sz w:val="18"/>
      <w:szCs w:val="18"/>
    </w:rPr>
  </w:style>
  <w:style w:type="paragraph" w:styleId="NormaleWeb">
    <w:name w:val="Normal (Web)"/>
    <w:basedOn w:val="Normale"/>
    <w:uiPriority w:val="99"/>
    <w:unhideWhenUsed/>
    <w:rsid w:val="006D387C"/>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D387C"/>
  </w:style>
  <w:style w:type="character" w:styleId="Enfasigrassetto">
    <w:name w:val="Strong"/>
    <w:basedOn w:val="Carpredefinitoparagrafo"/>
    <w:uiPriority w:val="22"/>
    <w:qFormat/>
    <w:rsid w:val="006D387C"/>
    <w:rPr>
      <w:b/>
      <w:bCs/>
    </w:rPr>
  </w:style>
  <w:style w:type="character" w:customStyle="1" w:styleId="Titolo1Carattere">
    <w:name w:val="Titolo 1 Carattere"/>
    <w:basedOn w:val="Carpredefinitoparagrafo"/>
    <w:link w:val="Titolo1"/>
    <w:uiPriority w:val="9"/>
    <w:rsid w:val="006D387C"/>
    <w:rPr>
      <w:rFonts w:asciiTheme="majorHAnsi" w:eastAsiaTheme="majorEastAsia" w:hAnsiTheme="majorHAnsi" w:cstheme="majorBidi"/>
      <w:color w:val="2E74B5" w:themeColor="accent1" w:themeShade="BF"/>
      <w:sz w:val="32"/>
      <w:szCs w:val="32"/>
    </w:rPr>
  </w:style>
  <w:style w:type="character" w:customStyle="1" w:styleId="categorianews">
    <w:name w:val="categorianews"/>
    <w:basedOn w:val="Carpredefinitoparagrafo"/>
    <w:rsid w:val="007B6AC0"/>
  </w:style>
  <w:style w:type="character" w:customStyle="1" w:styleId="titolonewsstile1">
    <w:name w:val="titolonewsstile1"/>
    <w:basedOn w:val="Carpredefinitoparagrafo"/>
    <w:rsid w:val="007B6AC0"/>
  </w:style>
  <w:style w:type="character" w:customStyle="1" w:styleId="abstractnewsstile1">
    <w:name w:val="abstractnewsstile1"/>
    <w:basedOn w:val="Carpredefinitoparagrafo"/>
    <w:rsid w:val="007B6AC0"/>
  </w:style>
  <w:style w:type="paragraph" w:customStyle="1" w:styleId="Default">
    <w:name w:val="Default"/>
    <w:rsid w:val="009D485A"/>
    <w:pPr>
      <w:autoSpaceDE w:val="0"/>
      <w:autoSpaceDN w:val="0"/>
      <w:adjustRightInd w:val="0"/>
      <w:spacing w:after="0" w:line="240" w:lineRule="auto"/>
    </w:pPr>
    <w:rPr>
      <w:rFonts w:ascii="Calibri" w:eastAsia="Calibri" w:hAnsi="Calibri" w:cs="Calibri"/>
      <w:color w:val="000000"/>
      <w:sz w:val="24"/>
      <w:szCs w:val="24"/>
    </w:rPr>
  </w:style>
  <w:style w:type="character" w:styleId="Rimandonotaapidipagina">
    <w:name w:val="footnote reference"/>
    <w:uiPriority w:val="99"/>
    <w:semiHidden/>
    <w:unhideWhenUsed/>
    <w:rsid w:val="009D485A"/>
    <w:rPr>
      <w:vertAlign w:val="superscript"/>
    </w:rPr>
  </w:style>
  <w:style w:type="paragraph" w:customStyle="1" w:styleId="xmsonormal">
    <w:name w:val="x_msonormal"/>
    <w:rsid w:val="003C0323"/>
    <w:pPr>
      <w:pBdr>
        <w:top w:val="nil"/>
        <w:left w:val="nil"/>
        <w:bottom w:val="nil"/>
        <w:right w:val="nil"/>
        <w:between w:val="nil"/>
        <w:bar w:val="nil"/>
      </w:pBdr>
      <w:spacing w:before="100" w:after="100" w:line="240" w:lineRule="auto"/>
    </w:pPr>
    <w:rPr>
      <w:rFonts w:ascii="Times" w:eastAsia="Arial Unicode MS" w:hAnsi="Times" w:cs="Arial Unicode MS"/>
      <w:color w:val="000000"/>
      <w:sz w:val="20"/>
      <w:szCs w:val="20"/>
      <w:u w:color="000000"/>
      <w:bdr w:val="nil"/>
      <w:lang w:eastAsia="it-IT"/>
    </w:rPr>
  </w:style>
  <w:style w:type="character" w:customStyle="1" w:styleId="Nessuno">
    <w:name w:val="Nessuno"/>
    <w:rsid w:val="003C0323"/>
    <w:rPr>
      <w:lang w:val="it-IT"/>
    </w:rPr>
  </w:style>
  <w:style w:type="paragraph" w:styleId="Titolo">
    <w:name w:val="Title"/>
    <w:basedOn w:val="Normale"/>
    <w:link w:val="TitoloCarattere"/>
    <w:qFormat/>
    <w:rsid w:val="00B0348B"/>
    <w:pPr>
      <w:widowControl w:val="0"/>
      <w:overflowPunct w:val="0"/>
      <w:autoSpaceDE w:val="0"/>
      <w:autoSpaceDN w:val="0"/>
      <w:adjustRightInd w:val="0"/>
      <w:spacing w:after="240"/>
      <w:jc w:val="center"/>
      <w:textAlignment w:val="baseline"/>
    </w:pPr>
    <w:rPr>
      <w:rFonts w:ascii="Arial" w:eastAsia="Times New Roman" w:hAnsi="Arial" w:cs="Times New Roman"/>
      <w:b/>
      <w:smallCaps/>
      <w:sz w:val="44"/>
      <w:szCs w:val="20"/>
      <w:lang w:eastAsia="it-IT"/>
    </w:rPr>
  </w:style>
  <w:style w:type="character" w:customStyle="1" w:styleId="TitoloCarattere">
    <w:name w:val="Titolo Carattere"/>
    <w:basedOn w:val="Carpredefinitoparagrafo"/>
    <w:link w:val="Titolo"/>
    <w:rsid w:val="00B0348B"/>
    <w:rPr>
      <w:rFonts w:ascii="Arial" w:eastAsia="Times New Roman" w:hAnsi="Arial" w:cs="Times New Roman"/>
      <w:b/>
      <w:smallCaps/>
      <w:sz w:val="44"/>
      <w:szCs w:val="20"/>
      <w:lang w:eastAsia="it-IT"/>
    </w:rPr>
  </w:style>
  <w:style w:type="character" w:styleId="Menzionenonrisolta">
    <w:name w:val="Unresolved Mention"/>
    <w:basedOn w:val="Carpredefinitoparagrafo"/>
    <w:uiPriority w:val="99"/>
    <w:semiHidden/>
    <w:unhideWhenUsed/>
    <w:rsid w:val="00EB4A49"/>
    <w:rPr>
      <w:color w:val="808080"/>
      <w:shd w:val="clear" w:color="auto" w:fill="E6E6E6"/>
    </w:rPr>
  </w:style>
  <w:style w:type="paragraph" w:customStyle="1" w:styleId="xp1">
    <w:name w:val="x_p1"/>
    <w:basedOn w:val="Normale"/>
    <w:rsid w:val="002B1CBF"/>
    <w:rPr>
      <w:rFonts w:ascii="Calibri" w:hAnsi="Calibri" w:cs="Calibri"/>
      <w:lang w:eastAsia="it-IT"/>
    </w:rPr>
  </w:style>
  <w:style w:type="paragraph" w:customStyle="1" w:styleId="xp3">
    <w:name w:val="x_p3"/>
    <w:basedOn w:val="Normale"/>
    <w:rsid w:val="002B1CBF"/>
    <w:rPr>
      <w:rFonts w:ascii="Calibri" w:hAnsi="Calibri" w:cs="Calibri"/>
      <w:lang w:eastAsia="it-IT"/>
    </w:rPr>
  </w:style>
  <w:style w:type="character" w:customStyle="1" w:styleId="xapple-converted-space">
    <w:name w:val="x_apple-converted-space"/>
    <w:basedOn w:val="Carpredefinitoparagrafo"/>
    <w:rsid w:val="002B1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6131">
      <w:bodyDiv w:val="1"/>
      <w:marLeft w:val="0"/>
      <w:marRight w:val="0"/>
      <w:marTop w:val="0"/>
      <w:marBottom w:val="0"/>
      <w:divBdr>
        <w:top w:val="none" w:sz="0" w:space="0" w:color="auto"/>
        <w:left w:val="none" w:sz="0" w:space="0" w:color="auto"/>
        <w:bottom w:val="none" w:sz="0" w:space="0" w:color="auto"/>
        <w:right w:val="none" w:sz="0" w:space="0" w:color="auto"/>
      </w:divBdr>
    </w:div>
    <w:div w:id="49696521">
      <w:bodyDiv w:val="1"/>
      <w:marLeft w:val="0"/>
      <w:marRight w:val="0"/>
      <w:marTop w:val="0"/>
      <w:marBottom w:val="0"/>
      <w:divBdr>
        <w:top w:val="none" w:sz="0" w:space="0" w:color="auto"/>
        <w:left w:val="none" w:sz="0" w:space="0" w:color="auto"/>
        <w:bottom w:val="none" w:sz="0" w:space="0" w:color="auto"/>
        <w:right w:val="none" w:sz="0" w:space="0" w:color="auto"/>
      </w:divBdr>
    </w:div>
    <w:div w:id="119963558">
      <w:bodyDiv w:val="1"/>
      <w:marLeft w:val="0"/>
      <w:marRight w:val="0"/>
      <w:marTop w:val="0"/>
      <w:marBottom w:val="0"/>
      <w:divBdr>
        <w:top w:val="none" w:sz="0" w:space="0" w:color="auto"/>
        <w:left w:val="none" w:sz="0" w:space="0" w:color="auto"/>
        <w:bottom w:val="none" w:sz="0" w:space="0" w:color="auto"/>
        <w:right w:val="none" w:sz="0" w:space="0" w:color="auto"/>
      </w:divBdr>
    </w:div>
    <w:div w:id="182400677">
      <w:bodyDiv w:val="1"/>
      <w:marLeft w:val="0"/>
      <w:marRight w:val="0"/>
      <w:marTop w:val="0"/>
      <w:marBottom w:val="0"/>
      <w:divBdr>
        <w:top w:val="none" w:sz="0" w:space="0" w:color="auto"/>
        <w:left w:val="none" w:sz="0" w:space="0" w:color="auto"/>
        <w:bottom w:val="none" w:sz="0" w:space="0" w:color="auto"/>
        <w:right w:val="none" w:sz="0" w:space="0" w:color="auto"/>
      </w:divBdr>
    </w:div>
    <w:div w:id="215631965">
      <w:bodyDiv w:val="1"/>
      <w:marLeft w:val="0"/>
      <w:marRight w:val="0"/>
      <w:marTop w:val="0"/>
      <w:marBottom w:val="0"/>
      <w:divBdr>
        <w:top w:val="none" w:sz="0" w:space="0" w:color="auto"/>
        <w:left w:val="none" w:sz="0" w:space="0" w:color="auto"/>
        <w:bottom w:val="none" w:sz="0" w:space="0" w:color="auto"/>
        <w:right w:val="none" w:sz="0" w:space="0" w:color="auto"/>
      </w:divBdr>
    </w:div>
    <w:div w:id="232742628">
      <w:bodyDiv w:val="1"/>
      <w:marLeft w:val="0"/>
      <w:marRight w:val="0"/>
      <w:marTop w:val="0"/>
      <w:marBottom w:val="0"/>
      <w:divBdr>
        <w:top w:val="none" w:sz="0" w:space="0" w:color="auto"/>
        <w:left w:val="none" w:sz="0" w:space="0" w:color="auto"/>
        <w:bottom w:val="none" w:sz="0" w:space="0" w:color="auto"/>
        <w:right w:val="none" w:sz="0" w:space="0" w:color="auto"/>
      </w:divBdr>
    </w:div>
    <w:div w:id="267586658">
      <w:bodyDiv w:val="1"/>
      <w:marLeft w:val="0"/>
      <w:marRight w:val="0"/>
      <w:marTop w:val="0"/>
      <w:marBottom w:val="0"/>
      <w:divBdr>
        <w:top w:val="none" w:sz="0" w:space="0" w:color="auto"/>
        <w:left w:val="none" w:sz="0" w:space="0" w:color="auto"/>
        <w:bottom w:val="none" w:sz="0" w:space="0" w:color="auto"/>
        <w:right w:val="none" w:sz="0" w:space="0" w:color="auto"/>
      </w:divBdr>
    </w:div>
    <w:div w:id="273513526">
      <w:bodyDiv w:val="1"/>
      <w:marLeft w:val="0"/>
      <w:marRight w:val="0"/>
      <w:marTop w:val="0"/>
      <w:marBottom w:val="0"/>
      <w:divBdr>
        <w:top w:val="none" w:sz="0" w:space="0" w:color="auto"/>
        <w:left w:val="none" w:sz="0" w:space="0" w:color="auto"/>
        <w:bottom w:val="none" w:sz="0" w:space="0" w:color="auto"/>
        <w:right w:val="none" w:sz="0" w:space="0" w:color="auto"/>
      </w:divBdr>
    </w:div>
    <w:div w:id="325134490">
      <w:bodyDiv w:val="1"/>
      <w:marLeft w:val="0"/>
      <w:marRight w:val="0"/>
      <w:marTop w:val="0"/>
      <w:marBottom w:val="0"/>
      <w:divBdr>
        <w:top w:val="none" w:sz="0" w:space="0" w:color="auto"/>
        <w:left w:val="none" w:sz="0" w:space="0" w:color="auto"/>
        <w:bottom w:val="none" w:sz="0" w:space="0" w:color="auto"/>
        <w:right w:val="none" w:sz="0" w:space="0" w:color="auto"/>
      </w:divBdr>
    </w:div>
    <w:div w:id="501287504">
      <w:bodyDiv w:val="1"/>
      <w:marLeft w:val="0"/>
      <w:marRight w:val="0"/>
      <w:marTop w:val="0"/>
      <w:marBottom w:val="0"/>
      <w:divBdr>
        <w:top w:val="none" w:sz="0" w:space="0" w:color="auto"/>
        <w:left w:val="none" w:sz="0" w:space="0" w:color="auto"/>
        <w:bottom w:val="none" w:sz="0" w:space="0" w:color="auto"/>
        <w:right w:val="none" w:sz="0" w:space="0" w:color="auto"/>
      </w:divBdr>
    </w:div>
    <w:div w:id="507599626">
      <w:bodyDiv w:val="1"/>
      <w:marLeft w:val="0"/>
      <w:marRight w:val="0"/>
      <w:marTop w:val="0"/>
      <w:marBottom w:val="0"/>
      <w:divBdr>
        <w:top w:val="none" w:sz="0" w:space="0" w:color="auto"/>
        <w:left w:val="none" w:sz="0" w:space="0" w:color="auto"/>
        <w:bottom w:val="none" w:sz="0" w:space="0" w:color="auto"/>
        <w:right w:val="none" w:sz="0" w:space="0" w:color="auto"/>
      </w:divBdr>
    </w:div>
    <w:div w:id="507647049">
      <w:bodyDiv w:val="1"/>
      <w:marLeft w:val="0"/>
      <w:marRight w:val="0"/>
      <w:marTop w:val="0"/>
      <w:marBottom w:val="0"/>
      <w:divBdr>
        <w:top w:val="none" w:sz="0" w:space="0" w:color="auto"/>
        <w:left w:val="none" w:sz="0" w:space="0" w:color="auto"/>
        <w:bottom w:val="none" w:sz="0" w:space="0" w:color="auto"/>
        <w:right w:val="none" w:sz="0" w:space="0" w:color="auto"/>
      </w:divBdr>
    </w:div>
    <w:div w:id="509950109">
      <w:bodyDiv w:val="1"/>
      <w:marLeft w:val="0"/>
      <w:marRight w:val="0"/>
      <w:marTop w:val="0"/>
      <w:marBottom w:val="0"/>
      <w:divBdr>
        <w:top w:val="none" w:sz="0" w:space="0" w:color="auto"/>
        <w:left w:val="none" w:sz="0" w:space="0" w:color="auto"/>
        <w:bottom w:val="none" w:sz="0" w:space="0" w:color="auto"/>
        <w:right w:val="none" w:sz="0" w:space="0" w:color="auto"/>
      </w:divBdr>
    </w:div>
    <w:div w:id="523635046">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62122266">
      <w:bodyDiv w:val="1"/>
      <w:marLeft w:val="0"/>
      <w:marRight w:val="0"/>
      <w:marTop w:val="0"/>
      <w:marBottom w:val="0"/>
      <w:divBdr>
        <w:top w:val="none" w:sz="0" w:space="0" w:color="auto"/>
        <w:left w:val="none" w:sz="0" w:space="0" w:color="auto"/>
        <w:bottom w:val="none" w:sz="0" w:space="0" w:color="auto"/>
        <w:right w:val="none" w:sz="0" w:space="0" w:color="auto"/>
      </w:divBdr>
    </w:div>
    <w:div w:id="672418998">
      <w:bodyDiv w:val="1"/>
      <w:marLeft w:val="0"/>
      <w:marRight w:val="0"/>
      <w:marTop w:val="0"/>
      <w:marBottom w:val="0"/>
      <w:divBdr>
        <w:top w:val="none" w:sz="0" w:space="0" w:color="auto"/>
        <w:left w:val="none" w:sz="0" w:space="0" w:color="auto"/>
        <w:bottom w:val="none" w:sz="0" w:space="0" w:color="auto"/>
        <w:right w:val="none" w:sz="0" w:space="0" w:color="auto"/>
      </w:divBdr>
    </w:div>
    <w:div w:id="749740216">
      <w:bodyDiv w:val="1"/>
      <w:marLeft w:val="0"/>
      <w:marRight w:val="0"/>
      <w:marTop w:val="0"/>
      <w:marBottom w:val="0"/>
      <w:divBdr>
        <w:top w:val="none" w:sz="0" w:space="0" w:color="auto"/>
        <w:left w:val="none" w:sz="0" w:space="0" w:color="auto"/>
        <w:bottom w:val="none" w:sz="0" w:space="0" w:color="auto"/>
        <w:right w:val="none" w:sz="0" w:space="0" w:color="auto"/>
      </w:divBdr>
    </w:div>
    <w:div w:id="948780445">
      <w:bodyDiv w:val="1"/>
      <w:marLeft w:val="0"/>
      <w:marRight w:val="0"/>
      <w:marTop w:val="0"/>
      <w:marBottom w:val="0"/>
      <w:divBdr>
        <w:top w:val="none" w:sz="0" w:space="0" w:color="auto"/>
        <w:left w:val="none" w:sz="0" w:space="0" w:color="auto"/>
        <w:bottom w:val="none" w:sz="0" w:space="0" w:color="auto"/>
        <w:right w:val="none" w:sz="0" w:space="0" w:color="auto"/>
      </w:divBdr>
    </w:div>
    <w:div w:id="986517617">
      <w:bodyDiv w:val="1"/>
      <w:marLeft w:val="0"/>
      <w:marRight w:val="0"/>
      <w:marTop w:val="0"/>
      <w:marBottom w:val="0"/>
      <w:divBdr>
        <w:top w:val="none" w:sz="0" w:space="0" w:color="auto"/>
        <w:left w:val="none" w:sz="0" w:space="0" w:color="auto"/>
        <w:bottom w:val="none" w:sz="0" w:space="0" w:color="auto"/>
        <w:right w:val="none" w:sz="0" w:space="0" w:color="auto"/>
      </w:divBdr>
    </w:div>
    <w:div w:id="1023213981">
      <w:bodyDiv w:val="1"/>
      <w:marLeft w:val="0"/>
      <w:marRight w:val="0"/>
      <w:marTop w:val="0"/>
      <w:marBottom w:val="0"/>
      <w:divBdr>
        <w:top w:val="none" w:sz="0" w:space="0" w:color="auto"/>
        <w:left w:val="none" w:sz="0" w:space="0" w:color="auto"/>
        <w:bottom w:val="none" w:sz="0" w:space="0" w:color="auto"/>
        <w:right w:val="none" w:sz="0" w:space="0" w:color="auto"/>
      </w:divBdr>
    </w:div>
    <w:div w:id="1125149920">
      <w:bodyDiv w:val="1"/>
      <w:marLeft w:val="0"/>
      <w:marRight w:val="0"/>
      <w:marTop w:val="0"/>
      <w:marBottom w:val="0"/>
      <w:divBdr>
        <w:top w:val="none" w:sz="0" w:space="0" w:color="auto"/>
        <w:left w:val="none" w:sz="0" w:space="0" w:color="auto"/>
        <w:bottom w:val="none" w:sz="0" w:space="0" w:color="auto"/>
        <w:right w:val="none" w:sz="0" w:space="0" w:color="auto"/>
      </w:divBdr>
      <w:divsChild>
        <w:div w:id="936595543">
          <w:marLeft w:val="0"/>
          <w:marRight w:val="0"/>
          <w:marTop w:val="120"/>
          <w:marBottom w:val="225"/>
          <w:divBdr>
            <w:top w:val="none" w:sz="0" w:space="0" w:color="auto"/>
            <w:left w:val="none" w:sz="0" w:space="0" w:color="auto"/>
            <w:bottom w:val="none" w:sz="0" w:space="0" w:color="auto"/>
            <w:right w:val="none" w:sz="0" w:space="0" w:color="auto"/>
          </w:divBdr>
        </w:div>
      </w:divsChild>
    </w:div>
    <w:div w:id="1155533877">
      <w:bodyDiv w:val="1"/>
      <w:marLeft w:val="0"/>
      <w:marRight w:val="0"/>
      <w:marTop w:val="0"/>
      <w:marBottom w:val="0"/>
      <w:divBdr>
        <w:top w:val="none" w:sz="0" w:space="0" w:color="auto"/>
        <w:left w:val="none" w:sz="0" w:space="0" w:color="auto"/>
        <w:bottom w:val="none" w:sz="0" w:space="0" w:color="auto"/>
        <w:right w:val="none" w:sz="0" w:space="0" w:color="auto"/>
      </w:divBdr>
    </w:div>
    <w:div w:id="1160925514">
      <w:bodyDiv w:val="1"/>
      <w:marLeft w:val="0"/>
      <w:marRight w:val="0"/>
      <w:marTop w:val="0"/>
      <w:marBottom w:val="0"/>
      <w:divBdr>
        <w:top w:val="none" w:sz="0" w:space="0" w:color="auto"/>
        <w:left w:val="none" w:sz="0" w:space="0" w:color="auto"/>
        <w:bottom w:val="none" w:sz="0" w:space="0" w:color="auto"/>
        <w:right w:val="none" w:sz="0" w:space="0" w:color="auto"/>
      </w:divBdr>
    </w:div>
    <w:div w:id="1268466086">
      <w:bodyDiv w:val="1"/>
      <w:marLeft w:val="0"/>
      <w:marRight w:val="0"/>
      <w:marTop w:val="0"/>
      <w:marBottom w:val="0"/>
      <w:divBdr>
        <w:top w:val="none" w:sz="0" w:space="0" w:color="auto"/>
        <w:left w:val="none" w:sz="0" w:space="0" w:color="auto"/>
        <w:bottom w:val="none" w:sz="0" w:space="0" w:color="auto"/>
        <w:right w:val="none" w:sz="0" w:space="0" w:color="auto"/>
      </w:divBdr>
    </w:div>
    <w:div w:id="1335107612">
      <w:bodyDiv w:val="1"/>
      <w:marLeft w:val="0"/>
      <w:marRight w:val="0"/>
      <w:marTop w:val="0"/>
      <w:marBottom w:val="0"/>
      <w:divBdr>
        <w:top w:val="none" w:sz="0" w:space="0" w:color="auto"/>
        <w:left w:val="none" w:sz="0" w:space="0" w:color="auto"/>
        <w:bottom w:val="none" w:sz="0" w:space="0" w:color="auto"/>
        <w:right w:val="none" w:sz="0" w:space="0" w:color="auto"/>
      </w:divBdr>
    </w:div>
    <w:div w:id="1344671625">
      <w:bodyDiv w:val="1"/>
      <w:marLeft w:val="0"/>
      <w:marRight w:val="0"/>
      <w:marTop w:val="0"/>
      <w:marBottom w:val="0"/>
      <w:divBdr>
        <w:top w:val="none" w:sz="0" w:space="0" w:color="auto"/>
        <w:left w:val="none" w:sz="0" w:space="0" w:color="auto"/>
        <w:bottom w:val="none" w:sz="0" w:space="0" w:color="auto"/>
        <w:right w:val="none" w:sz="0" w:space="0" w:color="auto"/>
      </w:divBdr>
    </w:div>
    <w:div w:id="1440834067">
      <w:bodyDiv w:val="1"/>
      <w:marLeft w:val="0"/>
      <w:marRight w:val="0"/>
      <w:marTop w:val="0"/>
      <w:marBottom w:val="0"/>
      <w:divBdr>
        <w:top w:val="none" w:sz="0" w:space="0" w:color="auto"/>
        <w:left w:val="none" w:sz="0" w:space="0" w:color="auto"/>
        <w:bottom w:val="none" w:sz="0" w:space="0" w:color="auto"/>
        <w:right w:val="none" w:sz="0" w:space="0" w:color="auto"/>
      </w:divBdr>
    </w:div>
    <w:div w:id="1486314447">
      <w:bodyDiv w:val="1"/>
      <w:marLeft w:val="0"/>
      <w:marRight w:val="0"/>
      <w:marTop w:val="0"/>
      <w:marBottom w:val="0"/>
      <w:divBdr>
        <w:top w:val="none" w:sz="0" w:space="0" w:color="auto"/>
        <w:left w:val="none" w:sz="0" w:space="0" w:color="auto"/>
        <w:bottom w:val="none" w:sz="0" w:space="0" w:color="auto"/>
        <w:right w:val="none" w:sz="0" w:space="0" w:color="auto"/>
      </w:divBdr>
    </w:div>
    <w:div w:id="1566335806">
      <w:bodyDiv w:val="1"/>
      <w:marLeft w:val="0"/>
      <w:marRight w:val="0"/>
      <w:marTop w:val="0"/>
      <w:marBottom w:val="0"/>
      <w:divBdr>
        <w:top w:val="none" w:sz="0" w:space="0" w:color="auto"/>
        <w:left w:val="none" w:sz="0" w:space="0" w:color="auto"/>
        <w:bottom w:val="none" w:sz="0" w:space="0" w:color="auto"/>
        <w:right w:val="none" w:sz="0" w:space="0" w:color="auto"/>
      </w:divBdr>
    </w:div>
    <w:div w:id="1586760941">
      <w:bodyDiv w:val="1"/>
      <w:marLeft w:val="0"/>
      <w:marRight w:val="0"/>
      <w:marTop w:val="0"/>
      <w:marBottom w:val="0"/>
      <w:divBdr>
        <w:top w:val="none" w:sz="0" w:space="0" w:color="auto"/>
        <w:left w:val="none" w:sz="0" w:space="0" w:color="auto"/>
        <w:bottom w:val="none" w:sz="0" w:space="0" w:color="auto"/>
        <w:right w:val="none" w:sz="0" w:space="0" w:color="auto"/>
      </w:divBdr>
    </w:div>
    <w:div w:id="1623422126">
      <w:bodyDiv w:val="1"/>
      <w:marLeft w:val="0"/>
      <w:marRight w:val="0"/>
      <w:marTop w:val="0"/>
      <w:marBottom w:val="0"/>
      <w:divBdr>
        <w:top w:val="none" w:sz="0" w:space="0" w:color="auto"/>
        <w:left w:val="none" w:sz="0" w:space="0" w:color="auto"/>
        <w:bottom w:val="none" w:sz="0" w:space="0" w:color="auto"/>
        <w:right w:val="none" w:sz="0" w:space="0" w:color="auto"/>
      </w:divBdr>
    </w:div>
    <w:div w:id="1759476615">
      <w:bodyDiv w:val="1"/>
      <w:marLeft w:val="0"/>
      <w:marRight w:val="0"/>
      <w:marTop w:val="0"/>
      <w:marBottom w:val="0"/>
      <w:divBdr>
        <w:top w:val="none" w:sz="0" w:space="0" w:color="auto"/>
        <w:left w:val="none" w:sz="0" w:space="0" w:color="auto"/>
        <w:bottom w:val="none" w:sz="0" w:space="0" w:color="auto"/>
        <w:right w:val="none" w:sz="0" w:space="0" w:color="auto"/>
      </w:divBdr>
    </w:div>
    <w:div w:id="1772317488">
      <w:bodyDiv w:val="1"/>
      <w:marLeft w:val="0"/>
      <w:marRight w:val="0"/>
      <w:marTop w:val="0"/>
      <w:marBottom w:val="0"/>
      <w:divBdr>
        <w:top w:val="none" w:sz="0" w:space="0" w:color="auto"/>
        <w:left w:val="none" w:sz="0" w:space="0" w:color="auto"/>
        <w:bottom w:val="none" w:sz="0" w:space="0" w:color="auto"/>
        <w:right w:val="none" w:sz="0" w:space="0" w:color="auto"/>
      </w:divBdr>
    </w:div>
    <w:div w:id="1808208356">
      <w:bodyDiv w:val="1"/>
      <w:marLeft w:val="0"/>
      <w:marRight w:val="0"/>
      <w:marTop w:val="0"/>
      <w:marBottom w:val="0"/>
      <w:divBdr>
        <w:top w:val="none" w:sz="0" w:space="0" w:color="auto"/>
        <w:left w:val="none" w:sz="0" w:space="0" w:color="auto"/>
        <w:bottom w:val="none" w:sz="0" w:space="0" w:color="auto"/>
        <w:right w:val="none" w:sz="0" w:space="0" w:color="auto"/>
      </w:divBdr>
    </w:div>
    <w:div w:id="1849712896">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1949896680">
      <w:bodyDiv w:val="1"/>
      <w:marLeft w:val="0"/>
      <w:marRight w:val="0"/>
      <w:marTop w:val="0"/>
      <w:marBottom w:val="0"/>
      <w:divBdr>
        <w:top w:val="none" w:sz="0" w:space="0" w:color="auto"/>
        <w:left w:val="none" w:sz="0" w:space="0" w:color="auto"/>
        <w:bottom w:val="none" w:sz="0" w:space="0" w:color="auto"/>
        <w:right w:val="none" w:sz="0" w:space="0" w:color="auto"/>
      </w:divBdr>
    </w:div>
    <w:div w:id="1987586900">
      <w:bodyDiv w:val="1"/>
      <w:marLeft w:val="0"/>
      <w:marRight w:val="0"/>
      <w:marTop w:val="0"/>
      <w:marBottom w:val="0"/>
      <w:divBdr>
        <w:top w:val="none" w:sz="0" w:space="0" w:color="auto"/>
        <w:left w:val="none" w:sz="0" w:space="0" w:color="auto"/>
        <w:bottom w:val="none" w:sz="0" w:space="0" w:color="auto"/>
        <w:right w:val="none" w:sz="0" w:space="0" w:color="auto"/>
      </w:divBdr>
    </w:div>
    <w:div w:id="2025551952">
      <w:bodyDiv w:val="1"/>
      <w:marLeft w:val="0"/>
      <w:marRight w:val="0"/>
      <w:marTop w:val="0"/>
      <w:marBottom w:val="0"/>
      <w:divBdr>
        <w:top w:val="none" w:sz="0" w:space="0" w:color="auto"/>
        <w:left w:val="none" w:sz="0" w:space="0" w:color="auto"/>
        <w:bottom w:val="none" w:sz="0" w:space="0" w:color="auto"/>
        <w:right w:val="none" w:sz="0" w:space="0" w:color="auto"/>
      </w:divBdr>
    </w:div>
    <w:div w:id="2072121004">
      <w:bodyDiv w:val="1"/>
      <w:marLeft w:val="0"/>
      <w:marRight w:val="0"/>
      <w:marTop w:val="0"/>
      <w:marBottom w:val="0"/>
      <w:divBdr>
        <w:top w:val="none" w:sz="0" w:space="0" w:color="auto"/>
        <w:left w:val="none" w:sz="0" w:space="0" w:color="auto"/>
        <w:bottom w:val="none" w:sz="0" w:space="0" w:color="auto"/>
        <w:right w:val="none" w:sz="0" w:space="0" w:color="auto"/>
      </w:divBdr>
    </w:div>
    <w:div w:id="2106269594">
      <w:bodyDiv w:val="1"/>
      <w:marLeft w:val="0"/>
      <w:marRight w:val="0"/>
      <w:marTop w:val="0"/>
      <w:marBottom w:val="0"/>
      <w:divBdr>
        <w:top w:val="none" w:sz="0" w:space="0" w:color="auto"/>
        <w:left w:val="none" w:sz="0" w:space="0" w:color="auto"/>
        <w:bottom w:val="none" w:sz="0" w:space="0" w:color="auto"/>
        <w:right w:val="none" w:sz="0" w:space="0" w:color="auto"/>
      </w:divBdr>
    </w:div>
    <w:div w:id="2111729658">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9C8F4-0313-014B-A300-6B79CC2C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513</Words>
  <Characters>2929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cp:lastPrinted>2017-11-29T14:32:00Z</cp:lastPrinted>
  <dcterms:created xsi:type="dcterms:W3CDTF">2021-03-24T09:43:00Z</dcterms:created>
  <dcterms:modified xsi:type="dcterms:W3CDTF">2021-03-30T10:19:00Z</dcterms:modified>
</cp:coreProperties>
</file>