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3580AC4C" w:rsidR="00B46E7F" w:rsidRPr="003F7653" w:rsidRDefault="00B33AAD" w:rsidP="003F765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u w:val="single"/>
        </w:rPr>
      </w:pPr>
      <w:r w:rsidRPr="003F7653">
        <w:rPr>
          <w:rFonts w:ascii="Arial" w:eastAsia="Times New Roman" w:hAnsi="Arial" w:cs="Arial"/>
          <w:b/>
          <w:bCs/>
          <w:sz w:val="23"/>
          <w:szCs w:val="23"/>
          <w:u w:val="single"/>
        </w:rPr>
        <w:t>C</w:t>
      </w:r>
      <w:r w:rsidR="000B3806" w:rsidRPr="003F7653">
        <w:rPr>
          <w:rFonts w:ascii="Arial" w:eastAsia="Times New Roman" w:hAnsi="Arial" w:cs="Arial"/>
          <w:b/>
          <w:bCs/>
          <w:sz w:val="23"/>
          <w:szCs w:val="23"/>
          <w:u w:val="single"/>
        </w:rPr>
        <w:t>OMUNICATO STAMPA</w:t>
      </w:r>
    </w:p>
    <w:p w14:paraId="03A6E445" w14:textId="77777777" w:rsidR="00C801B1" w:rsidRPr="003F7653" w:rsidRDefault="00C801B1" w:rsidP="003F765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u w:val="single"/>
        </w:rPr>
      </w:pPr>
    </w:p>
    <w:p w14:paraId="4ED3A215" w14:textId="2DC21DC8" w:rsidR="006D0BEF" w:rsidRPr="003F7653" w:rsidRDefault="00B37115" w:rsidP="003F7653">
      <w:pPr>
        <w:pStyle w:val="xp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Una ricerca</w:t>
      </w:r>
      <w:r w:rsidR="006D0BEF"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del Consiglio e della Fondazione Nazional</w:t>
      </w:r>
      <w:r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i</w:t>
      </w:r>
      <w:r w:rsidR="006D0BEF"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dei Commercialisti</w:t>
      </w:r>
    </w:p>
    <w:p w14:paraId="27FDD0C7" w14:textId="77777777" w:rsidR="006D0BEF" w:rsidRPr="003F7653" w:rsidRDefault="006D0BEF" w:rsidP="003F7653">
      <w:pPr>
        <w:pStyle w:val="x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01C67D28" w14:textId="04D097B8" w:rsidR="006D0BEF" w:rsidRPr="003F7653" w:rsidRDefault="006D0BEF" w:rsidP="003F7653">
      <w:pPr>
        <w:pStyle w:val="xp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</w:pPr>
      <w:r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POCHE E PICCOLE, LE SOCIETA’ TRA PROFESSIONISTI NON DECOLLANO</w:t>
      </w:r>
    </w:p>
    <w:p w14:paraId="67B5C0CC" w14:textId="77777777" w:rsidR="006D0BEF" w:rsidRPr="003F7653" w:rsidRDefault="006D0BEF" w:rsidP="003F7653">
      <w:pPr>
        <w:pStyle w:val="xp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14:paraId="4651E8C7" w14:textId="0E10EABC" w:rsidR="006D0BEF" w:rsidRPr="003F7653" w:rsidRDefault="006D0BEF" w:rsidP="003F7653">
      <w:pPr>
        <w:pStyle w:val="xp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Sono solo 4mila su oltre 2 milioni di professionisti. 1.350 quelle iscritte all’Albo dei commercialisti (32% del totale)</w:t>
      </w:r>
      <w:r w:rsidR="0068658C"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.</w:t>
      </w:r>
      <w:r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</w:t>
      </w:r>
      <w:r w:rsidR="0068658C"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P</w:t>
      </w:r>
      <w:r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iù diffuse al Nord che al Centro Sud, alla fine del</w:t>
      </w:r>
      <w:r w:rsidR="009D57D0"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2021 </w:t>
      </w:r>
      <w:r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occupavano quasi 10 mila addetti</w:t>
      </w:r>
      <w:r w:rsidR="0068658C"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. Costituite in media da 2,8 soci, occupano 4,2 dipendenti per un totale di 7 addetti</w:t>
      </w:r>
      <w:r w:rsidR="00C66822"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. Per </w:t>
      </w:r>
      <w:r w:rsidR="009D57D0" w:rsidRPr="003F765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la categoria servono misure fiscali per rilanciarle</w:t>
      </w:r>
    </w:p>
    <w:p w14:paraId="13308ADE" w14:textId="77777777" w:rsidR="006D0BEF" w:rsidRPr="003F7653" w:rsidRDefault="006D0BEF" w:rsidP="003F7653">
      <w:pPr>
        <w:pStyle w:val="xp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</w:p>
    <w:p w14:paraId="29264FAB" w14:textId="3D00B630" w:rsidR="00816D15" w:rsidRPr="003F7653" w:rsidRDefault="0068658C" w:rsidP="003F7653">
      <w:pPr>
        <w:pStyle w:val="x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3F7653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Roma, 22 marzo 2022 -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Poche e piccole, 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con pochi dipendenti e un basso valore della produzione, 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più </w:t>
      </w:r>
      <w:r w:rsidR="006D0BEF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diffuse al Nord </w:t>
      </w:r>
      <w:r w:rsidR="00444153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(Nord-est l’1,6% e Nord-Ovest 1,5% </w:t>
      </w:r>
      <w:r w:rsidR="00816D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del </w:t>
      </w:r>
      <w:r w:rsidR="00444153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totale degli iscritti) 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che al </w:t>
      </w:r>
      <w:r w:rsidR="006D0BEF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Centr</w:t>
      </w:r>
      <w:r w:rsidR="00444153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o (0,8%) e al </w:t>
      </w:r>
      <w:r w:rsidR="006D0BEF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Sud</w:t>
      </w:r>
      <w:r w:rsidR="00444153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(0,5%)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. </w:t>
      </w:r>
      <w:r w:rsidR="003F7653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È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la fotografia dell</w:t>
      </w:r>
      <w:r w:rsidR="006D0BEF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e circa 1.350 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società tra professionisti iscritt</w:t>
      </w:r>
      <w:r w:rsidR="006D0BEF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e alla fine dell’anno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all’Albo dei commercialisti, scattata dalla Fondazione nazionale dei commercialisti che</w:t>
      </w:r>
      <w:r w:rsidR="00816D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-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assieme al Consiglio nazionale della categoria</w:t>
      </w:r>
      <w:r w:rsidR="00816D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-</w:t>
      </w:r>
      <w:r w:rsidR="00B37115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ha realizzato la ricerca</w:t>
      </w:r>
      <w:r w:rsidR="005528BD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“Il ruolo delle STP nell’evoluzione della professione di commercialista”. </w:t>
      </w:r>
    </w:p>
    <w:p w14:paraId="36BC68B6" w14:textId="77777777" w:rsidR="00816D15" w:rsidRPr="003F7653" w:rsidRDefault="00816D15" w:rsidP="003F7653">
      <w:pPr>
        <w:pStyle w:val="x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14:paraId="52E75DC8" w14:textId="716CA49B" w:rsidR="005528BD" w:rsidRPr="003F7653" w:rsidRDefault="005528BD" w:rsidP="003F7653">
      <w:pPr>
        <w:pStyle w:val="x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Le STP di commercialisti equivalgono al 32% delle poco più d</w:t>
      </w:r>
      <w:r w:rsidR="001D3C68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i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4mila presenti tra gli oltre due milioni di professionisti italiani. Numeri che, ad ormai </w:t>
      </w:r>
      <w:r w:rsidR="009D57D0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più di dieci an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ni dalla loro introduzione con la Legge 183/2011 (art. 10), certificano la loro scarsa diffusione</w:t>
      </w:r>
      <w:r w:rsidR="007F2B52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nel mondo delle libere professioni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. </w:t>
      </w:r>
    </w:p>
    <w:p w14:paraId="55F5DBA6" w14:textId="53F85C2D" w:rsidR="005528BD" w:rsidRPr="003F7653" w:rsidRDefault="005528BD" w:rsidP="003F7653">
      <w:pPr>
        <w:pStyle w:val="x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14:paraId="5CCDA858" w14:textId="4001303B" w:rsidR="006D0BEF" w:rsidRPr="003F7653" w:rsidRDefault="006D0BEF" w:rsidP="003F7653">
      <w:pPr>
        <w:pStyle w:val="xp2"/>
        <w:shd w:val="clear" w:color="auto" w:fill="FFFFFF"/>
        <w:spacing w:before="0" w:beforeAutospacing="0" w:after="0" w:afterAutospacing="0"/>
        <w:jc w:val="both"/>
        <w:rPr>
          <w:rStyle w:val="xapple-converted-space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Secondo la ricerca della F</w:t>
      </w:r>
      <w:r w:rsidR="00172C9C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ondazione nazionale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</w:t>
      </w:r>
      <w:r w:rsidR="00F37E61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le STP</w:t>
      </w:r>
      <w:r w:rsidR="009D57D0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dei Commercialisti occupano circa 10 mila addetti con un valore della produzione totale stimato per il 2020 pari a 742 milioni di euro. Si tratt</w:t>
      </w:r>
      <w:r w:rsidR="00172C9C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a 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del 4,2% del totale addetti occupati in tutti gli studi professionali dei Commercialisti e del 6,2% del valore totale generato dagli stessi.</w:t>
      </w:r>
      <w:r w:rsidRPr="003F7653">
        <w:rPr>
          <w:rStyle w:val="xapple-converted-space"/>
          <w:rFonts w:ascii="Arial" w:hAnsi="Arial" w:cs="Arial"/>
          <w:color w:val="000000"/>
          <w:sz w:val="23"/>
          <w:szCs w:val="23"/>
          <w:bdr w:val="none" w:sz="0" w:space="0" w:color="auto" w:frame="1"/>
        </w:rPr>
        <w:t> </w:t>
      </w:r>
    </w:p>
    <w:p w14:paraId="16C71505" w14:textId="77777777" w:rsidR="00172C9C" w:rsidRPr="003F7653" w:rsidRDefault="00172C9C" w:rsidP="003F7653">
      <w:pPr>
        <w:pStyle w:val="x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8C01D1F" w14:textId="4459343F" w:rsidR="006D0BEF" w:rsidRPr="003F7653" w:rsidRDefault="00F37E61" w:rsidP="003F7653">
      <w:pPr>
        <w:pStyle w:val="xp2"/>
        <w:shd w:val="clear" w:color="auto" w:fill="FFFFFF"/>
        <w:spacing w:before="0" w:beforeAutospacing="0" w:after="0" w:afterAutospacing="0"/>
        <w:jc w:val="both"/>
        <w:rPr>
          <w:rStyle w:val="xapple-converted-space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L</w:t>
      </w:r>
      <w:r w:rsidR="006D0BEF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'analisi si sofferma 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in particolare </w:t>
      </w:r>
      <w:r w:rsidR="006D0BEF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sui dati di bilancio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delle più di 900 Stp costituite in forma di società di capitali</w:t>
      </w:r>
      <w:r w:rsidR="006D0BEF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. Da questa fotografia emerge il quadro di una società tra commercialisti di dimensioni mediamente molto piccole e con uno scarso ricorso al capitale. Basti pensare che ogni società è costituita mediamente da 2,8 soci ed occupa 4,2 dipendenti per un totale di 7 addetti. Inoltre, il valore della produzione per singola società è pari a poco meno di 550 mila euro. Solo 7 società hanno più di dieci soci, mentre solo il 7,9% ha più di 10 dipendenti e solo l’8,8% supera il milione di ricavi.</w:t>
      </w:r>
      <w:r w:rsidR="006D0BEF" w:rsidRPr="003F7653">
        <w:rPr>
          <w:rStyle w:val="xapple-converted-space"/>
          <w:rFonts w:ascii="Arial" w:hAnsi="Arial" w:cs="Arial"/>
          <w:color w:val="000000"/>
          <w:sz w:val="23"/>
          <w:szCs w:val="23"/>
          <w:bdr w:val="none" w:sz="0" w:space="0" w:color="auto" w:frame="1"/>
        </w:rPr>
        <w:t> </w:t>
      </w:r>
    </w:p>
    <w:p w14:paraId="72F2816F" w14:textId="77777777" w:rsidR="00172C9C" w:rsidRPr="003F7653" w:rsidRDefault="00172C9C" w:rsidP="003F7653">
      <w:pPr>
        <w:pStyle w:val="x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4FBCDA6" w14:textId="0D20FD86" w:rsidR="00EA13DD" w:rsidRPr="006D0BEF" w:rsidRDefault="006D0BEF" w:rsidP="003F7653">
      <w:pPr>
        <w:pStyle w:val="x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Tra le principali criticità messe in evidenza dallo studio, si segnalano la mancanza di una disciplina fiscale e la carenza in più parti della disciplina giuridica. Tale deficit normativo</w:t>
      </w:r>
      <w:r w:rsidR="00FC7471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ha determinato un’incertezza di fondo che impedisce una corretta valutazione dei costi e dei benefici dello strumento</w:t>
      </w:r>
      <w:r w:rsidR="00FC7471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,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bloccando di fatto il processo evolutivo della professione.</w:t>
      </w:r>
      <w:r w:rsidRPr="003F7653">
        <w:rPr>
          <w:rStyle w:val="xapple-converted-space"/>
          <w:rFonts w:ascii="Arial" w:hAnsi="Arial" w:cs="Arial"/>
          <w:color w:val="000000"/>
          <w:sz w:val="23"/>
          <w:szCs w:val="23"/>
          <w:bdr w:val="none" w:sz="0" w:space="0" w:color="auto" w:frame="1"/>
        </w:rPr>
        <w:t> </w:t>
      </w:r>
      <w:r w:rsidR="009D57D0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Secondo la ricerca dei commercialisti, 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bisognerebbe prendere in seria considerazione le analisi sui limiti e sui vincoli del modello societario delle Stp disegnato dalla legge 183/2011 e provvedere alla </w:t>
      </w:r>
      <w:r w:rsidR="009D57D0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loro 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rimozione </w:t>
      </w:r>
      <w:r w:rsidR="009D57D0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per</w:t>
      </w:r>
      <w:r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rendere questo modello più appetibile per i Commercialisti e, in generale, per le professioni liberali.</w:t>
      </w:r>
      <w:r w:rsidR="0068658C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Proprio alle STP </w:t>
      </w:r>
      <w:r w:rsidR="003F7653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è</w:t>
      </w:r>
      <w:r w:rsidR="0068658C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dedicato uno dei punti qualificanti del </w:t>
      </w:r>
      <w:r w:rsidR="009D57D0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m</w:t>
      </w:r>
      <w:r w:rsidR="0068658C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anifesto del Consiglio nazionale dei commercialisti per la riforma fiscale. La proposta della categoria è quella d</w:t>
      </w:r>
      <w:r w:rsidR="00C66822" w:rsidRPr="003F7653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i prevedere la n</w:t>
      </w:r>
      <w:r w:rsidR="0068658C" w:rsidRPr="003F7653">
        <w:rPr>
          <w:rFonts w:ascii="Arial" w:hAnsi="Arial" w:cs="Arial"/>
          <w:color w:val="000000"/>
          <w:kern w:val="36"/>
          <w:sz w:val="23"/>
          <w:szCs w:val="23"/>
        </w:rPr>
        <w:t>eutralità fiscale delle operazioni di riorganizzazione delle attività di lavoro autonomo e determinazione opzionale per cassa dei redditi delle STP di capitali</w:t>
      </w:r>
      <w:r w:rsidR="00C66822" w:rsidRPr="003F7653">
        <w:rPr>
          <w:rFonts w:ascii="Arial" w:hAnsi="Arial" w:cs="Arial"/>
          <w:color w:val="000000"/>
          <w:kern w:val="36"/>
          <w:sz w:val="23"/>
          <w:szCs w:val="23"/>
        </w:rPr>
        <w:t>.</w:t>
      </w:r>
    </w:p>
    <w:sectPr w:rsidR="00EA13DD" w:rsidRPr="006D0BE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3A3B" w14:textId="77777777" w:rsidR="00B436DE" w:rsidRDefault="00B436DE" w:rsidP="00C244F9">
      <w:pPr>
        <w:spacing w:after="0" w:line="240" w:lineRule="auto"/>
      </w:pPr>
      <w:r>
        <w:separator/>
      </w:r>
    </w:p>
  </w:endnote>
  <w:endnote w:type="continuationSeparator" w:id="0">
    <w:p w14:paraId="6D213E15" w14:textId="77777777" w:rsidR="00B436DE" w:rsidRDefault="00B436DE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54D8" w14:textId="77777777" w:rsidR="00B436DE" w:rsidRDefault="00B436DE" w:rsidP="00C244F9">
      <w:pPr>
        <w:spacing w:after="0" w:line="240" w:lineRule="auto"/>
      </w:pPr>
      <w:r>
        <w:separator/>
      </w:r>
    </w:p>
  </w:footnote>
  <w:footnote w:type="continuationSeparator" w:id="0">
    <w:p w14:paraId="020C22FD" w14:textId="77777777" w:rsidR="00B436DE" w:rsidRDefault="00B436DE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06CDD"/>
    <w:rsid w:val="0011714E"/>
    <w:rsid w:val="00130A4E"/>
    <w:rsid w:val="00137250"/>
    <w:rsid w:val="00144BD8"/>
    <w:rsid w:val="00154A24"/>
    <w:rsid w:val="00172C9C"/>
    <w:rsid w:val="00175822"/>
    <w:rsid w:val="00176972"/>
    <w:rsid w:val="001A1D68"/>
    <w:rsid w:val="001D3C68"/>
    <w:rsid w:val="001F0475"/>
    <w:rsid w:val="00227B3C"/>
    <w:rsid w:val="00276BA4"/>
    <w:rsid w:val="0029157E"/>
    <w:rsid w:val="002B78A5"/>
    <w:rsid w:val="002C41B2"/>
    <w:rsid w:val="002D4028"/>
    <w:rsid w:val="0031138F"/>
    <w:rsid w:val="003216ED"/>
    <w:rsid w:val="003539AF"/>
    <w:rsid w:val="00374EC0"/>
    <w:rsid w:val="003773A3"/>
    <w:rsid w:val="003935EA"/>
    <w:rsid w:val="003B3597"/>
    <w:rsid w:val="003C2E00"/>
    <w:rsid w:val="003C30BF"/>
    <w:rsid w:val="003C6252"/>
    <w:rsid w:val="003D0CE5"/>
    <w:rsid w:val="003E3FF8"/>
    <w:rsid w:val="003F7653"/>
    <w:rsid w:val="00410906"/>
    <w:rsid w:val="00427803"/>
    <w:rsid w:val="00444153"/>
    <w:rsid w:val="00473624"/>
    <w:rsid w:val="004B26BB"/>
    <w:rsid w:val="004D027A"/>
    <w:rsid w:val="00502804"/>
    <w:rsid w:val="005419B9"/>
    <w:rsid w:val="00542E37"/>
    <w:rsid w:val="005528BD"/>
    <w:rsid w:val="00560DF1"/>
    <w:rsid w:val="00574FE2"/>
    <w:rsid w:val="00586B1F"/>
    <w:rsid w:val="005A46C4"/>
    <w:rsid w:val="00605191"/>
    <w:rsid w:val="006161FB"/>
    <w:rsid w:val="006273EA"/>
    <w:rsid w:val="00651652"/>
    <w:rsid w:val="00656D74"/>
    <w:rsid w:val="0066467C"/>
    <w:rsid w:val="0068658C"/>
    <w:rsid w:val="00686B3A"/>
    <w:rsid w:val="006B481F"/>
    <w:rsid w:val="006D0BEF"/>
    <w:rsid w:val="006F4EC2"/>
    <w:rsid w:val="007578E3"/>
    <w:rsid w:val="00792220"/>
    <w:rsid w:val="007B4E5F"/>
    <w:rsid w:val="007F0536"/>
    <w:rsid w:val="007F2B52"/>
    <w:rsid w:val="0080067F"/>
    <w:rsid w:val="00800A12"/>
    <w:rsid w:val="0081049B"/>
    <w:rsid w:val="00813B39"/>
    <w:rsid w:val="00816D15"/>
    <w:rsid w:val="00893C4E"/>
    <w:rsid w:val="008C37D4"/>
    <w:rsid w:val="00911D15"/>
    <w:rsid w:val="009258D3"/>
    <w:rsid w:val="00984D51"/>
    <w:rsid w:val="009C53C6"/>
    <w:rsid w:val="009D57D0"/>
    <w:rsid w:val="009F1487"/>
    <w:rsid w:val="009F4D75"/>
    <w:rsid w:val="00A604B1"/>
    <w:rsid w:val="00A866E4"/>
    <w:rsid w:val="00B33AAD"/>
    <w:rsid w:val="00B37115"/>
    <w:rsid w:val="00B436DE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2741C"/>
    <w:rsid w:val="00C306B1"/>
    <w:rsid w:val="00C63146"/>
    <w:rsid w:val="00C66822"/>
    <w:rsid w:val="00C719EB"/>
    <w:rsid w:val="00C74FC6"/>
    <w:rsid w:val="00C801B1"/>
    <w:rsid w:val="00CA5E3D"/>
    <w:rsid w:val="00CA7FD0"/>
    <w:rsid w:val="00D0617D"/>
    <w:rsid w:val="00D06F3A"/>
    <w:rsid w:val="00D64987"/>
    <w:rsid w:val="00DA3824"/>
    <w:rsid w:val="00DB6DAF"/>
    <w:rsid w:val="00DC7566"/>
    <w:rsid w:val="00DD1BB9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A13DD"/>
    <w:rsid w:val="00EC0B46"/>
    <w:rsid w:val="00EC2930"/>
    <w:rsid w:val="00EE38DA"/>
    <w:rsid w:val="00F04783"/>
    <w:rsid w:val="00F362C1"/>
    <w:rsid w:val="00F37E61"/>
    <w:rsid w:val="00F6642C"/>
    <w:rsid w:val="00FA00F8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2">
    <w:name w:val="x_p2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3">
    <w:name w:val="x_p3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Carpredefinitoparagrafo"/>
    <w:rsid w:val="006D0BEF"/>
  </w:style>
  <w:style w:type="character" w:customStyle="1" w:styleId="xapple-converted-space">
    <w:name w:val="x_apple-converted-space"/>
    <w:basedOn w:val="Carpredefinitoparagrafo"/>
    <w:rsid w:val="006D0BEF"/>
  </w:style>
  <w:style w:type="paragraph" w:customStyle="1" w:styleId="xp4">
    <w:name w:val="x_p4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dcterms:created xsi:type="dcterms:W3CDTF">2022-03-22T09:14:00Z</dcterms:created>
  <dcterms:modified xsi:type="dcterms:W3CDTF">2022-03-22T19:20:00Z</dcterms:modified>
</cp:coreProperties>
</file>