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E6035" w14:textId="77777777" w:rsidR="009D1104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30356A15" w14:textId="6ABF6985" w:rsidR="003506C6" w:rsidRDefault="003506C6" w:rsidP="003506C6">
      <w:pPr>
        <w:rPr>
          <w:rFonts w:ascii="Arial" w:hAnsi="Arial" w:cs="Arial"/>
          <w:color w:val="000000" w:themeColor="text1"/>
        </w:rPr>
      </w:pPr>
      <w:r w:rsidRPr="00AB2D42">
        <w:rPr>
          <w:rFonts w:ascii="Arial" w:hAnsi="Arial" w:cs="Arial"/>
          <w:color w:val="000000" w:themeColor="text1"/>
        </w:rPr>
        <w:t xml:space="preserve">Comunicato stampa </w:t>
      </w:r>
    </w:p>
    <w:p w14:paraId="4C4007E8" w14:textId="77777777" w:rsidR="003506C6" w:rsidRPr="00AB2D42" w:rsidRDefault="003506C6" w:rsidP="003506C6">
      <w:pPr>
        <w:rPr>
          <w:rFonts w:ascii="Arial" w:hAnsi="Arial" w:cs="Arial"/>
          <w:color w:val="000000" w:themeColor="text1"/>
        </w:rPr>
      </w:pPr>
    </w:p>
    <w:p w14:paraId="0C3373D6" w14:textId="77777777" w:rsidR="003506C6" w:rsidRPr="00AB2D42" w:rsidRDefault="003506C6" w:rsidP="003506C6">
      <w:pPr>
        <w:mirrorIndents/>
        <w:jc w:val="both"/>
        <w:rPr>
          <w:rFonts w:ascii="Arial" w:eastAsia="Times New Roman" w:hAnsi="Arial" w:cs="Arial"/>
          <w:b/>
          <w:iCs/>
          <w:color w:val="000000" w:themeColor="text1"/>
          <w:lang w:eastAsia="it-IT"/>
        </w:rPr>
      </w:pPr>
      <w:r w:rsidRPr="00AB2D42">
        <w:rPr>
          <w:rFonts w:ascii="Arial" w:eastAsia="Times New Roman" w:hAnsi="Arial" w:cs="Arial"/>
          <w:b/>
          <w:iCs/>
          <w:color w:val="000000" w:themeColor="text1"/>
          <w:lang w:eastAsia="it-IT"/>
        </w:rPr>
        <w:t>MANOVRA: COMMERCIALISTI, FONDI DEL TUTTO INSUFFICIENTI PER UNA VERA RIFORMA FISCALE</w:t>
      </w:r>
    </w:p>
    <w:p w14:paraId="7B5383FD" w14:textId="6725F43F" w:rsidR="003506C6" w:rsidRDefault="003506C6" w:rsidP="003506C6">
      <w:pPr>
        <w:mirrorIndents/>
        <w:jc w:val="both"/>
        <w:rPr>
          <w:rFonts w:ascii="Arial" w:eastAsia="Times New Roman" w:hAnsi="Arial" w:cs="Arial"/>
          <w:b/>
          <w:iCs/>
          <w:color w:val="000000" w:themeColor="text1"/>
          <w:lang w:eastAsia="it-IT"/>
        </w:rPr>
      </w:pPr>
      <w:r w:rsidRPr="00AB2D42">
        <w:rPr>
          <w:rFonts w:ascii="Arial" w:eastAsia="Times New Roman" w:hAnsi="Arial" w:cs="Arial"/>
          <w:b/>
          <w:iCs/>
          <w:color w:val="000000" w:themeColor="text1"/>
          <w:lang w:eastAsia="it-IT"/>
        </w:rPr>
        <w:t>La categoria in audizione parlamentare: “</w:t>
      </w:r>
      <w:r w:rsidRPr="00AB2D42">
        <w:rPr>
          <w:rFonts w:ascii="Arial" w:hAnsi="Arial" w:cs="Arial"/>
          <w:b/>
          <w:color w:val="000000" w:themeColor="text1"/>
        </w:rPr>
        <w:t>Si continua con la divaricazione delle curve della progressività tra dipendenti, pensionati e autonomi”</w:t>
      </w:r>
    </w:p>
    <w:p w14:paraId="3617F5C5" w14:textId="77777777" w:rsidR="003506C6" w:rsidRPr="003506C6" w:rsidRDefault="003506C6" w:rsidP="003506C6">
      <w:pPr>
        <w:mirrorIndents/>
        <w:jc w:val="both"/>
        <w:rPr>
          <w:rFonts w:ascii="Arial" w:eastAsia="Times New Roman" w:hAnsi="Arial" w:cs="Arial"/>
          <w:b/>
          <w:iCs/>
          <w:color w:val="000000" w:themeColor="text1"/>
          <w:lang w:eastAsia="it-IT"/>
        </w:rPr>
      </w:pPr>
    </w:p>
    <w:p w14:paraId="4DFB7E0A" w14:textId="482A5B06" w:rsidR="003506C6" w:rsidRDefault="003506C6" w:rsidP="003506C6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6C6">
        <w:rPr>
          <w:rFonts w:ascii="Arial" w:hAnsi="Arial" w:cs="Arial"/>
          <w:i/>
          <w:iCs/>
          <w:color w:val="000000" w:themeColor="text1"/>
          <w:sz w:val="22"/>
          <w:szCs w:val="22"/>
        </w:rPr>
        <w:t>Roma, 21 novembre 2020 -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 xml:space="preserve"> “Le risorse messe a disposizione della riforma fiscale, rinviata al 2022, sono nella sostanza </w:t>
      </w: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>2,5 miliardi di euro per l’anno 2022 e 1,5 miliardi di euro a regime a decorrere dal 2023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 xml:space="preserve">. Si tratta di uno </w:t>
      </w: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>stanziamento sostanzialmente inconsistente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 xml:space="preserve"> rispetto ad un obiettivo di riforma dell’intero sistema fiscale”. </w:t>
      </w:r>
      <w:r w:rsidR="00372875">
        <w:rPr>
          <w:rFonts w:ascii="Arial" w:hAnsi="Arial" w:cs="Arial"/>
          <w:color w:val="000000" w:themeColor="text1"/>
          <w:sz w:val="22"/>
          <w:szCs w:val="22"/>
        </w:rPr>
        <w:t xml:space="preserve">È 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 xml:space="preserve">quanto affermato dl Consigliere nazionale dei commercialisti delegato alla fiscalità, </w:t>
      </w: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>Maurizio Postal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 xml:space="preserve">, nel corso dell’audizione sulla Manovra svoltasi oggi presso la Commissione </w:t>
      </w:r>
      <w:r w:rsidRPr="003506C6">
        <w:rPr>
          <w:rFonts w:ascii="Arial" w:hAnsi="Arial" w:cs="Arial"/>
          <w:bCs/>
          <w:color w:val="000000" w:themeColor="text1"/>
          <w:sz w:val="22"/>
          <w:szCs w:val="22"/>
        </w:rPr>
        <w:t>Finanze e Tesoro del Senato. “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>Degli 8 miliardi di euro per l’anno 2022 e 7 miliardi di euro a regime dall’anno 2023, 5,5 miliardi – sottolineano i commercialisti - sono infatti destinati alla riforma dell’</w:t>
      </w: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>assegno universale alla famiglia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>, al cui servizio vengono attribuiti 3 miliardi anche per l’anno 2021, presumibilmente nell’ottica di un avvio della riforma a partire dalla metà dell’anno 2021”.</w:t>
      </w:r>
    </w:p>
    <w:p w14:paraId="367F30A3" w14:textId="77777777" w:rsidR="003506C6" w:rsidRPr="003506C6" w:rsidRDefault="003506C6" w:rsidP="003506C6">
      <w:pPr>
        <w:pStyle w:val="Defaul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41F2CA9" w14:textId="7E3A1F3B" w:rsidR="003506C6" w:rsidRPr="003506C6" w:rsidRDefault="003506C6" w:rsidP="003506C6">
      <w:pPr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6C6">
        <w:rPr>
          <w:rFonts w:ascii="Arial" w:hAnsi="Arial" w:cs="Arial"/>
          <w:color w:val="000000" w:themeColor="text1"/>
          <w:sz w:val="22"/>
          <w:szCs w:val="22"/>
        </w:rPr>
        <w:t xml:space="preserve">“Tanto quanto è vera e sostanziale la riforma del cosiddetto “assegno unico per i figli”, è il commento di Postal, – sulla quale esprimiamo per altro </w:t>
      </w: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>vivo apprezzamento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 xml:space="preserve">, perché supera l’assoluta inadeguatezza dello strumento delle detrazioni IRPEF decrescenti per figli a carico e punta a superare </w:t>
      </w: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>l’odiosa e incivile discriminazione tutt’oggi esistente, tra lavoratori dipendenti e lavoratori autonomi,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 xml:space="preserve"> rispetto allo strumento degli </w:t>
      </w: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>assegni familiari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 xml:space="preserve"> – altrettanto suscita </w:t>
      </w: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perplessità 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>una asserita “riforma del sistema fiscale”, inserita sotto il cappello di norme per la “</w:t>
      </w: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>riduzione della pressione fiscale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>”, non di norme per la “</w:t>
      </w: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>semplificazione del sistema fiscale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>”, cui vengono destinate a regime risorse nell’ordine di 1,5 miliardi di euro”.</w:t>
      </w:r>
    </w:p>
    <w:p w14:paraId="7B011FDD" w14:textId="77777777" w:rsidR="003506C6" w:rsidRPr="003506C6" w:rsidRDefault="003506C6" w:rsidP="003506C6">
      <w:pPr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3064A2" w14:textId="77777777" w:rsidR="003506C6" w:rsidRPr="003506C6" w:rsidRDefault="003506C6" w:rsidP="003506C6">
      <w:pPr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6C6">
        <w:rPr>
          <w:rFonts w:ascii="Arial" w:hAnsi="Arial" w:cs="Arial"/>
          <w:color w:val="000000" w:themeColor="text1"/>
          <w:sz w:val="22"/>
          <w:szCs w:val="22"/>
        </w:rPr>
        <w:t xml:space="preserve">“Per capire la </w:t>
      </w: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>sostanziale inconsistenza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 xml:space="preserve"> di un simile stanziamento, rispetto ad un obiettivo di riforma dell’intero sistema fiscale, nemmeno di un suo specifico ambito soltanto, come ad esempio le imposte dirette o le imposte indirette”, ha proseguito Postal, “basti pensare che la </w:t>
      </w: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>Relazione tecnica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 xml:space="preserve"> al disegno di legge di bilancio quantifica una somma doppia, ossia </w:t>
      </w: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>3 miliardi di euro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>, già solo per mettere a regime la cosiddetta “</w:t>
      </w: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>detrazione aggiuntiva di lavoro dipendente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>”, che parte da 1.200 euro in corrispondenza di 28.000 euro di reddito imponibile e si azzera in corrispondenza di 40.000 euro di reddito imponibile. Con 1,5 miliardi di euro a regime si riuscirebbe a coprire solo metà di questa singola misura, figuriamoci impostar</w:t>
      </w:r>
      <w:bookmarkStart w:id="0" w:name="_GoBack"/>
      <w:bookmarkEnd w:id="0"/>
      <w:r w:rsidRPr="003506C6">
        <w:rPr>
          <w:rFonts w:ascii="Arial" w:hAnsi="Arial" w:cs="Arial"/>
          <w:color w:val="000000" w:themeColor="text1"/>
          <w:sz w:val="22"/>
          <w:szCs w:val="22"/>
        </w:rPr>
        <w:t xml:space="preserve">e una </w:t>
      </w: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>riforma generale del sistema fiscale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>, o anche solo dell’IRPEF, finalizzata alla riduzione della pressione fiscale”.</w:t>
      </w:r>
    </w:p>
    <w:p w14:paraId="5C9184B9" w14:textId="77777777" w:rsidR="003506C6" w:rsidRPr="003506C6" w:rsidRDefault="003506C6" w:rsidP="003506C6">
      <w:pPr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9DA05F" w14:textId="408AC20B" w:rsidR="003506C6" w:rsidRDefault="003506C6" w:rsidP="003506C6">
      <w:pPr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6C6">
        <w:rPr>
          <w:rFonts w:ascii="Arial" w:hAnsi="Arial" w:cs="Arial"/>
          <w:color w:val="000000" w:themeColor="text1"/>
          <w:sz w:val="22"/>
          <w:szCs w:val="22"/>
        </w:rPr>
        <w:t xml:space="preserve">“Per altro”, ha </w:t>
      </w:r>
      <w:r w:rsidR="00537C70">
        <w:rPr>
          <w:rFonts w:ascii="Arial" w:hAnsi="Arial" w:cs="Arial"/>
          <w:color w:val="000000" w:themeColor="text1"/>
          <w:sz w:val="22"/>
          <w:szCs w:val="22"/>
        </w:rPr>
        <w:t>proseguito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 xml:space="preserve"> il rappresentante dei commercialisti, “la scelta di investire in questa fase storica ulteriori 3 miliardi di euro a regime per ridurre la pressione fiscale sui contribuenti con redditi da 28.000 a 40.000 euro, </w:t>
      </w: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>ma soltanto se titolari di redditi di lavoro dipendente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 xml:space="preserve">, contribuisce ulteriormente ad </w:t>
      </w: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>allontanare la possibilità di un riordino complessivo dell’IRPEF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 xml:space="preserve"> nel segno di una equità non soltanto verticale, ma anche orizzontale della curva della progressività. Si è parlato tanto di aliquota continua alla tedesca con unica curva della progressività per tutti, ma poi si continua con la </w:t>
      </w: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>divaricazione delle curve della progressività tra dipendenti, pensionati e autonomi”</w:t>
      </w:r>
      <w:r w:rsidRPr="003506C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B4B9BD" w14:textId="444653CA" w:rsidR="00537C70" w:rsidRDefault="00537C70" w:rsidP="003506C6">
      <w:pPr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3980FFA" w14:textId="600BD22C" w:rsidR="00537C70" w:rsidRPr="00537C70" w:rsidRDefault="00537C70" w:rsidP="00537C70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“</w:t>
      </w:r>
      <w:r w:rsidRPr="00537C7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Stando così le cose</w:t>
      </w: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”</w:t>
      </w:r>
      <w:r w:rsidRPr="00537C7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ha concluso Postal,</w:t>
      </w:r>
      <w:r w:rsidRPr="00537C7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“</w:t>
      </w:r>
      <w:r w:rsidRPr="00537C7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suggeriamo di utilizzare le ridottissime risorse accantonate </w:t>
      </w: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per </w:t>
      </w:r>
      <w:r w:rsidRPr="00537C70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potenziare la disciplina della </w:t>
      </w:r>
      <w:proofErr w:type="spellStart"/>
      <w:r w:rsidRPr="00537C70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flat</w:t>
      </w:r>
      <w:proofErr w:type="spellEnd"/>
      <w:r w:rsidRPr="00537C70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 tax delle partite IVA individuali</w:t>
      </w:r>
      <w:r w:rsidRPr="00537C7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, non tanto sul versante del tetto massimo di fatturato, quanto sul versante della possibilità di avvalersene anche in caso di </w:t>
      </w:r>
      <w:r w:rsidRPr="00537C70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esercizio dell’attività in forma associata</w:t>
      </w:r>
      <w:r w:rsidRPr="00537C7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posto che l’aggregazione è qualcosa che deve essere stimolato anche a livello di micro-attività, non soltanto a livello di attività maggiori.</w:t>
      </w:r>
    </w:p>
    <w:p w14:paraId="590934D6" w14:textId="77777777" w:rsidR="00537C70" w:rsidRPr="003506C6" w:rsidRDefault="00537C70" w:rsidP="003506C6">
      <w:pPr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1E3D52" w14:textId="77777777" w:rsidR="003506C6" w:rsidRPr="003506C6" w:rsidRDefault="003506C6" w:rsidP="003506C6">
      <w:pPr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234056" w14:textId="77777777" w:rsidR="003506C6" w:rsidRPr="003506C6" w:rsidRDefault="003506C6" w:rsidP="003506C6">
      <w:pPr>
        <w:mirrorIndents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>Ufficio stampa Consiglio nazionale commercialisti</w:t>
      </w:r>
    </w:p>
    <w:p w14:paraId="4D68235E" w14:textId="77777777" w:rsidR="003506C6" w:rsidRPr="003506C6" w:rsidRDefault="003506C6" w:rsidP="003506C6">
      <w:pPr>
        <w:mirrorIndents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>Mauro Parracino</w:t>
      </w:r>
    </w:p>
    <w:p w14:paraId="2F21BE5E" w14:textId="77777777" w:rsidR="003506C6" w:rsidRPr="003506C6" w:rsidRDefault="003506C6" w:rsidP="003506C6">
      <w:pPr>
        <w:mirrorIndents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>334.3837514</w:t>
      </w:r>
    </w:p>
    <w:p w14:paraId="3C90E13C" w14:textId="77777777" w:rsidR="003506C6" w:rsidRPr="003506C6" w:rsidRDefault="003506C6" w:rsidP="003506C6">
      <w:pPr>
        <w:mirrorIndents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506C6">
        <w:rPr>
          <w:rFonts w:ascii="Arial" w:hAnsi="Arial" w:cs="Arial"/>
          <w:b/>
          <w:bCs/>
          <w:color w:val="000000" w:themeColor="text1"/>
          <w:sz w:val="22"/>
          <w:szCs w:val="22"/>
        </w:rPr>
        <w:t>parracino@commercialisti.it</w:t>
      </w:r>
    </w:p>
    <w:p w14:paraId="1D1D8068" w14:textId="77777777" w:rsidR="003506C6" w:rsidRPr="003506C6" w:rsidRDefault="003506C6" w:rsidP="003506C6">
      <w:pPr>
        <w:rPr>
          <w:rFonts w:ascii="Arial" w:hAnsi="Arial" w:cs="Arial"/>
          <w:sz w:val="22"/>
          <w:szCs w:val="22"/>
        </w:rPr>
      </w:pPr>
    </w:p>
    <w:p w14:paraId="60BAC08C" w14:textId="1DDFDD31" w:rsidR="00B3271C" w:rsidRPr="003506C6" w:rsidRDefault="006006AA" w:rsidP="00237BEE">
      <w:pPr>
        <w:jc w:val="both"/>
        <w:rPr>
          <w:rFonts w:ascii="Arial" w:hAnsi="Arial" w:cs="Arial"/>
          <w:sz w:val="22"/>
          <w:szCs w:val="22"/>
        </w:rPr>
      </w:pPr>
    </w:p>
    <w:sectPr w:rsidR="00B3271C" w:rsidRPr="003506C6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10D02" w14:textId="77777777" w:rsidR="006006AA" w:rsidRDefault="006006AA" w:rsidP="00627996">
      <w:r>
        <w:separator/>
      </w:r>
    </w:p>
  </w:endnote>
  <w:endnote w:type="continuationSeparator" w:id="0">
    <w:p w14:paraId="6034EDB9" w14:textId="77777777" w:rsidR="006006AA" w:rsidRDefault="006006AA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CE2F" w14:textId="77777777" w:rsidR="006006AA" w:rsidRDefault="006006AA" w:rsidP="00627996">
      <w:r>
        <w:separator/>
      </w:r>
    </w:p>
  </w:footnote>
  <w:footnote w:type="continuationSeparator" w:id="0">
    <w:p w14:paraId="4F4E3ABE" w14:textId="77777777" w:rsidR="006006AA" w:rsidRDefault="006006AA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A051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297FDB2" wp14:editId="5BEC66E3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B3759"/>
    <w:rsid w:val="001D0C92"/>
    <w:rsid w:val="00206248"/>
    <w:rsid w:val="00237BEE"/>
    <w:rsid w:val="002B1170"/>
    <w:rsid w:val="002B1507"/>
    <w:rsid w:val="002E31F2"/>
    <w:rsid w:val="003248FA"/>
    <w:rsid w:val="003506C6"/>
    <w:rsid w:val="00372875"/>
    <w:rsid w:val="003C2FC0"/>
    <w:rsid w:val="004E409A"/>
    <w:rsid w:val="00537C70"/>
    <w:rsid w:val="00595991"/>
    <w:rsid w:val="006006AA"/>
    <w:rsid w:val="00627996"/>
    <w:rsid w:val="00656CC5"/>
    <w:rsid w:val="00734687"/>
    <w:rsid w:val="00986D90"/>
    <w:rsid w:val="009D1104"/>
    <w:rsid w:val="009F27EC"/>
    <w:rsid w:val="00AC6BB0"/>
    <w:rsid w:val="00BF5D58"/>
    <w:rsid w:val="00D0285A"/>
    <w:rsid w:val="00D41E98"/>
    <w:rsid w:val="00DB4B99"/>
    <w:rsid w:val="00F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C4BC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350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Default">
    <w:name w:val="Default"/>
    <w:rsid w:val="003506C6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3</cp:revision>
  <dcterms:created xsi:type="dcterms:W3CDTF">2020-11-21T09:53:00Z</dcterms:created>
  <dcterms:modified xsi:type="dcterms:W3CDTF">2020-11-21T11:36:00Z</dcterms:modified>
</cp:coreProperties>
</file>