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1A2D1" w14:textId="77777777" w:rsidR="00E0409E" w:rsidRDefault="00E0409E" w:rsidP="00E0409E">
      <w:pPr>
        <w:spacing w:after="0" w:line="240" w:lineRule="auto"/>
        <w:mirrorIndents/>
        <w:jc w:val="both"/>
        <w:rPr>
          <w:rFonts w:ascii="Arial" w:eastAsia="Times New Roman" w:hAnsi="Arial" w:cs="Arial"/>
          <w:b/>
          <w:bCs/>
          <w:smallCaps/>
          <w:lang w:eastAsia="it-IT"/>
        </w:rPr>
      </w:pPr>
    </w:p>
    <w:p w14:paraId="3646F131" w14:textId="77777777" w:rsidR="00C668AE" w:rsidRDefault="00C668AE" w:rsidP="00E0409E">
      <w:pPr>
        <w:spacing w:after="0" w:line="240" w:lineRule="auto"/>
        <w:mirrorIndents/>
        <w:jc w:val="both"/>
        <w:rPr>
          <w:rFonts w:ascii="Arial" w:eastAsia="Times New Roman" w:hAnsi="Arial" w:cs="Arial"/>
          <w:b/>
          <w:bCs/>
          <w:smallCaps/>
          <w:lang w:eastAsia="it-IT"/>
        </w:rPr>
      </w:pPr>
    </w:p>
    <w:p w14:paraId="3CEB908E" w14:textId="6EDD5981" w:rsidR="00C668AE" w:rsidRDefault="00C668AE" w:rsidP="00E0409E">
      <w:pPr>
        <w:spacing w:after="0" w:line="240" w:lineRule="auto"/>
        <w:mirrorIndents/>
        <w:jc w:val="both"/>
        <w:rPr>
          <w:rFonts w:ascii="Arial" w:eastAsia="Times New Roman" w:hAnsi="Arial" w:cs="Arial"/>
          <w:b/>
          <w:bCs/>
          <w:smallCaps/>
          <w:lang w:eastAsia="it-IT"/>
        </w:rPr>
      </w:pPr>
      <w:r>
        <w:rPr>
          <w:rFonts w:ascii="Arial" w:eastAsia="Times New Roman" w:hAnsi="Arial" w:cs="Arial"/>
          <w:b/>
          <w:bCs/>
          <w:smallCaps/>
          <w:lang w:eastAsia="it-IT"/>
        </w:rPr>
        <w:t xml:space="preserve">Comunicato stampa </w:t>
      </w:r>
    </w:p>
    <w:p w14:paraId="3CBF94F0" w14:textId="77777777" w:rsidR="00C668AE" w:rsidRDefault="00C668AE" w:rsidP="00E0409E">
      <w:pPr>
        <w:spacing w:after="0" w:line="240" w:lineRule="auto"/>
        <w:mirrorIndents/>
        <w:jc w:val="both"/>
        <w:rPr>
          <w:rFonts w:ascii="Arial" w:eastAsia="Times New Roman" w:hAnsi="Arial" w:cs="Arial"/>
          <w:b/>
          <w:bCs/>
          <w:smallCaps/>
          <w:lang w:eastAsia="it-IT"/>
        </w:rPr>
      </w:pPr>
    </w:p>
    <w:p w14:paraId="39D32405" w14:textId="0D50D4B2" w:rsidR="00E0409E" w:rsidRDefault="00E0409E" w:rsidP="00E0409E">
      <w:pPr>
        <w:spacing w:after="0" w:line="240" w:lineRule="auto"/>
        <w:mirrorIndents/>
        <w:jc w:val="both"/>
        <w:rPr>
          <w:rFonts w:ascii="Arial" w:eastAsia="Times New Roman" w:hAnsi="Arial" w:cs="Arial"/>
          <w:b/>
          <w:bCs/>
          <w:smallCaps/>
          <w:lang w:eastAsia="it-IT"/>
        </w:rPr>
      </w:pPr>
      <w:r>
        <w:rPr>
          <w:rFonts w:ascii="Arial" w:eastAsia="Times New Roman" w:hAnsi="Arial" w:cs="Arial"/>
          <w:b/>
          <w:bCs/>
          <w:smallCaps/>
          <w:lang w:eastAsia="it-IT"/>
        </w:rPr>
        <w:t xml:space="preserve">MANOVRA: COMMERCIALISTI, MISURE SPESSO GIUSTE, MA POCO CONSISTENTI </w:t>
      </w:r>
    </w:p>
    <w:p w14:paraId="076430A2" w14:textId="77777777" w:rsidR="00E0409E" w:rsidRP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</w:p>
    <w:p w14:paraId="639303D7" w14:textId="48B15BD4" w:rsidR="00E0409E" w:rsidRPr="00E0409E" w:rsidRDefault="00E0409E" w:rsidP="00E0409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09E">
        <w:rPr>
          <w:rFonts w:ascii="Arial" w:hAnsi="Arial" w:cs="Arial"/>
          <w:b/>
          <w:bCs/>
        </w:rPr>
        <w:t xml:space="preserve">La categoria </w:t>
      </w:r>
      <w:proofErr w:type="spellStart"/>
      <w:r w:rsidRPr="00E0409E">
        <w:rPr>
          <w:rFonts w:ascii="Arial" w:hAnsi="Arial" w:cs="Arial"/>
          <w:b/>
          <w:bCs/>
        </w:rPr>
        <w:t>audit</w:t>
      </w:r>
      <w:r w:rsidR="0006082C">
        <w:rPr>
          <w:rFonts w:ascii="Arial" w:hAnsi="Arial" w:cs="Arial"/>
          <w:b/>
          <w:bCs/>
        </w:rPr>
        <w:t>a</w:t>
      </w:r>
      <w:proofErr w:type="spellEnd"/>
      <w:r w:rsidRPr="00E0409E">
        <w:rPr>
          <w:rFonts w:ascii="Arial" w:hAnsi="Arial" w:cs="Arial"/>
          <w:b/>
          <w:bCs/>
        </w:rPr>
        <w:t xml:space="preserve"> in Senato. “Più coraggio su capitalizzazione imprese</w:t>
      </w:r>
      <w:r w:rsidR="00536D28">
        <w:rPr>
          <w:rFonts w:ascii="Arial" w:hAnsi="Arial" w:cs="Arial"/>
          <w:b/>
          <w:bCs/>
        </w:rPr>
        <w:t xml:space="preserve"> e</w:t>
      </w:r>
      <w:r w:rsidRPr="00E0409E">
        <w:rPr>
          <w:rFonts w:ascii="Arial" w:hAnsi="Arial" w:cs="Arial"/>
          <w:b/>
          <w:bCs/>
        </w:rPr>
        <w:t xml:space="preserve"> credito d’imposta</w:t>
      </w:r>
      <w:r w:rsidR="00536D28">
        <w:rPr>
          <w:rFonts w:ascii="Arial" w:hAnsi="Arial" w:cs="Arial"/>
          <w:b/>
          <w:bCs/>
        </w:rPr>
        <w:t xml:space="preserve"> per investimenti e </w:t>
      </w:r>
      <w:r w:rsidRPr="00E0409E">
        <w:rPr>
          <w:rFonts w:ascii="Arial" w:hAnsi="Arial" w:cs="Arial"/>
          <w:b/>
          <w:bCs/>
        </w:rPr>
        <w:t xml:space="preserve">aggregazioni”. Chiesto il rinvio del </w:t>
      </w:r>
      <w:r>
        <w:rPr>
          <w:rFonts w:ascii="Arial" w:hAnsi="Arial" w:cs="Arial"/>
          <w:b/>
          <w:bCs/>
        </w:rPr>
        <w:t>S</w:t>
      </w:r>
      <w:r w:rsidRPr="00E0409E">
        <w:rPr>
          <w:rFonts w:ascii="Arial" w:hAnsi="Arial" w:cs="Arial"/>
          <w:b/>
          <w:bCs/>
        </w:rPr>
        <w:t>uperbonus del 110% al 2024</w:t>
      </w:r>
    </w:p>
    <w:p w14:paraId="29F11C32" w14:textId="77777777" w:rsid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</w:p>
    <w:p w14:paraId="716EDC19" w14:textId="5F0AB45E" w:rsid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Roma, 21 novembre 2020 – “E’ </w:t>
      </w:r>
      <w:r w:rsidRPr="00E0409E">
        <w:rPr>
          <w:rFonts w:ascii="Arial" w:hAnsi="Arial" w:cs="Arial"/>
        </w:rPr>
        <w:t xml:space="preserve">corretta la separazione tra misure di aiuto immediato, affidate ad appositi decreti, e misure di transizione e ripartenza con un’ottica di breve, ma non brevissimo periodo, affidate alla legge di bilancio. </w:t>
      </w:r>
      <w:r>
        <w:rPr>
          <w:rFonts w:ascii="Arial" w:hAnsi="Arial" w:cs="Arial"/>
        </w:rPr>
        <w:t>Misure</w:t>
      </w:r>
      <w:r w:rsidRPr="00E0409E">
        <w:rPr>
          <w:rFonts w:ascii="Arial" w:hAnsi="Arial" w:cs="Arial"/>
        </w:rPr>
        <w:t xml:space="preserve"> formalmente presenti nel disegno di legge di bilancio, ma senza che tale forma sia accompagnata dalla necessaria </w:t>
      </w:r>
      <w:r w:rsidRPr="00E0409E">
        <w:rPr>
          <w:rFonts w:ascii="Arial" w:hAnsi="Arial" w:cs="Arial"/>
          <w:b/>
          <w:bCs/>
        </w:rPr>
        <w:t>consistenza sostanziale</w:t>
      </w:r>
      <w:r>
        <w:rPr>
          <w:rFonts w:ascii="Arial" w:hAnsi="Arial" w:cs="Arial"/>
        </w:rPr>
        <w:t>”</w:t>
      </w:r>
      <w:r w:rsidRPr="00E040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6082C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 xml:space="preserve">quanto affermato dal Consigliere nazionale dei commercialisti, </w:t>
      </w:r>
      <w:r w:rsidRPr="00E0409E">
        <w:rPr>
          <w:rFonts w:ascii="Arial" w:hAnsi="Arial" w:cs="Arial"/>
          <w:b/>
          <w:bCs/>
        </w:rPr>
        <w:t>Maurizio Postal</w:t>
      </w:r>
      <w:r>
        <w:rPr>
          <w:rFonts w:ascii="Arial" w:hAnsi="Arial" w:cs="Arial"/>
        </w:rPr>
        <w:t xml:space="preserve">, nel corso dell’audizione parlamentare svoltasi oggi al Senato sulla Manovra. Il riferimento di Postal è alle misure di </w:t>
      </w:r>
      <w:r w:rsidRPr="00E0409E">
        <w:rPr>
          <w:rFonts w:ascii="Arial" w:hAnsi="Arial" w:cs="Arial"/>
        </w:rPr>
        <w:t xml:space="preserve">sostegno al </w:t>
      </w:r>
      <w:r w:rsidRPr="00E0409E">
        <w:rPr>
          <w:rFonts w:ascii="Arial" w:hAnsi="Arial" w:cs="Arial"/>
          <w:b/>
          <w:bCs/>
        </w:rPr>
        <w:t>settore dell’edilizia</w:t>
      </w:r>
      <w:r w:rsidRPr="00E040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0409E">
        <w:rPr>
          <w:rFonts w:ascii="Arial" w:hAnsi="Arial" w:cs="Arial"/>
        </w:rPr>
        <w:t xml:space="preserve">alla </w:t>
      </w:r>
      <w:r w:rsidRPr="00E0409E">
        <w:rPr>
          <w:rFonts w:ascii="Arial" w:hAnsi="Arial" w:cs="Arial"/>
          <w:b/>
          <w:bCs/>
        </w:rPr>
        <w:t>liquidità delle imprese</w:t>
      </w:r>
      <w:r w:rsidRPr="00E0409E">
        <w:rPr>
          <w:rFonts w:ascii="Arial" w:hAnsi="Arial" w:cs="Arial"/>
        </w:rPr>
        <w:t xml:space="preserve"> attraverso il sistema creditizi</w:t>
      </w:r>
      <w:r>
        <w:rPr>
          <w:rFonts w:ascii="Arial" w:hAnsi="Arial" w:cs="Arial"/>
        </w:rPr>
        <w:t>o,</w:t>
      </w:r>
      <w:r w:rsidRPr="00E0409E">
        <w:rPr>
          <w:rFonts w:ascii="Arial" w:hAnsi="Arial" w:cs="Arial"/>
        </w:rPr>
        <w:t xml:space="preserve"> alla adeguata </w:t>
      </w:r>
      <w:r w:rsidRPr="00E0409E">
        <w:rPr>
          <w:rFonts w:ascii="Arial" w:hAnsi="Arial" w:cs="Arial"/>
          <w:b/>
          <w:bCs/>
        </w:rPr>
        <w:t>patrimonializzazione delle imprese</w:t>
      </w:r>
      <w:r>
        <w:rPr>
          <w:rFonts w:ascii="Arial" w:hAnsi="Arial" w:cs="Arial"/>
        </w:rPr>
        <w:t xml:space="preserve">, </w:t>
      </w:r>
      <w:r w:rsidRPr="00E0409E">
        <w:rPr>
          <w:rFonts w:ascii="Arial" w:hAnsi="Arial" w:cs="Arial"/>
        </w:rPr>
        <w:t xml:space="preserve">agli </w:t>
      </w:r>
      <w:r w:rsidRPr="00E0409E">
        <w:rPr>
          <w:rFonts w:ascii="Arial" w:hAnsi="Arial" w:cs="Arial"/>
          <w:b/>
          <w:bCs/>
        </w:rPr>
        <w:t>investimenti privati delle imprese</w:t>
      </w:r>
      <w:r>
        <w:rPr>
          <w:rFonts w:ascii="Arial" w:hAnsi="Arial" w:cs="Arial"/>
        </w:rPr>
        <w:t xml:space="preserve"> e ai</w:t>
      </w:r>
      <w:r w:rsidRPr="00E0409E">
        <w:rPr>
          <w:rFonts w:ascii="Arial" w:hAnsi="Arial" w:cs="Arial"/>
        </w:rPr>
        <w:t xml:space="preserve"> processi di </w:t>
      </w:r>
      <w:r w:rsidRPr="00E0409E">
        <w:rPr>
          <w:rFonts w:ascii="Arial" w:hAnsi="Arial" w:cs="Arial"/>
          <w:b/>
          <w:bCs/>
        </w:rPr>
        <w:t>aggregazione</w:t>
      </w:r>
      <w:r w:rsidRPr="00E0409E">
        <w:rPr>
          <w:rFonts w:ascii="Arial" w:hAnsi="Arial" w:cs="Arial"/>
        </w:rPr>
        <w:t xml:space="preserve"> tra imprese.</w:t>
      </w:r>
      <w:r>
        <w:rPr>
          <w:rFonts w:ascii="Arial" w:hAnsi="Arial" w:cs="Arial"/>
        </w:rPr>
        <w:t xml:space="preserve"> </w:t>
      </w:r>
    </w:p>
    <w:p w14:paraId="76D03A5A" w14:textId="77777777" w:rsid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</w:p>
    <w:p w14:paraId="2A1CB23B" w14:textId="77777777" w:rsid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commercialisti denunciano innanzitutto la mancanza nel testo della Manovra della </w:t>
      </w:r>
      <w:r w:rsidRPr="00E0409E">
        <w:rPr>
          <w:rFonts w:ascii="Arial" w:hAnsi="Arial" w:cs="Arial"/>
          <w:b/>
          <w:bCs/>
        </w:rPr>
        <w:t>proroga delle detrazioni “edilizie” in scadenza al 31 dicembre 2021</w:t>
      </w:r>
      <w:r w:rsidRPr="00E0409E">
        <w:rPr>
          <w:rFonts w:ascii="Arial" w:hAnsi="Arial" w:cs="Arial"/>
        </w:rPr>
        <w:t xml:space="preserve">: il superbonus, nonché l’ecobonus e il </w:t>
      </w:r>
      <w:proofErr w:type="spellStart"/>
      <w:r w:rsidRPr="00E0409E">
        <w:rPr>
          <w:rFonts w:ascii="Arial" w:hAnsi="Arial" w:cs="Arial"/>
        </w:rPr>
        <w:t>sismabonus</w:t>
      </w:r>
      <w:proofErr w:type="spellEnd"/>
      <w:r w:rsidRPr="00E0409E">
        <w:rPr>
          <w:rFonts w:ascii="Arial" w:hAnsi="Arial" w:cs="Arial"/>
        </w:rPr>
        <w:t xml:space="preserve"> per interventi su parti comuni di edifici condominiali.</w:t>
      </w:r>
      <w:r>
        <w:rPr>
          <w:rFonts w:ascii="Arial" w:hAnsi="Arial" w:cs="Arial"/>
        </w:rPr>
        <w:t xml:space="preserve"> </w:t>
      </w:r>
      <w:r w:rsidRPr="00E0409E">
        <w:rPr>
          <w:rFonts w:ascii="Arial" w:hAnsi="Arial" w:cs="Arial"/>
        </w:rPr>
        <w:t xml:space="preserve">L’invito </w:t>
      </w:r>
      <w:r>
        <w:rPr>
          <w:rFonts w:ascii="Arial" w:hAnsi="Arial" w:cs="Arial"/>
        </w:rPr>
        <w:t>della categoria “</w:t>
      </w:r>
      <w:r w:rsidRPr="00E0409E">
        <w:rPr>
          <w:rFonts w:ascii="Arial" w:hAnsi="Arial" w:cs="Arial"/>
        </w:rPr>
        <w:t xml:space="preserve">è quello di disporre una proroga fino </w:t>
      </w:r>
      <w:r w:rsidRPr="00E0409E">
        <w:rPr>
          <w:rFonts w:ascii="Arial" w:hAnsi="Arial" w:cs="Arial"/>
          <w:b/>
          <w:bCs/>
        </w:rPr>
        <w:t>almeno al 31 dicembre 2024</w:t>
      </w:r>
      <w:r>
        <w:rPr>
          <w:rFonts w:ascii="Arial" w:hAnsi="Arial" w:cs="Arial"/>
        </w:rPr>
        <w:t>”</w:t>
      </w:r>
      <w:r w:rsidRPr="00E040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5284105" w14:textId="77777777" w:rsid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</w:p>
    <w:p w14:paraId="67591D38" w14:textId="0C2DFCC5" w:rsid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Sul fronte della </w:t>
      </w:r>
      <w:r w:rsidRPr="00E0409E">
        <w:rPr>
          <w:rFonts w:ascii="Arial" w:hAnsi="Arial" w:cs="Arial"/>
          <w:b/>
          <w:bCs/>
        </w:rPr>
        <w:t>capitalizzazione delle imprese</w:t>
      </w:r>
      <w:r>
        <w:rPr>
          <w:rFonts w:ascii="Arial" w:hAnsi="Arial" w:cs="Arial"/>
        </w:rPr>
        <w:t xml:space="preserve"> i commercialisti propongono l’introduzione di un apposito </w:t>
      </w:r>
      <w:r w:rsidRPr="00E0409E">
        <w:rPr>
          <w:rFonts w:ascii="Arial" w:hAnsi="Arial" w:cs="Arial"/>
          <w:b/>
          <w:bCs/>
        </w:rPr>
        <w:t xml:space="preserve">superbonus </w:t>
      </w:r>
      <w:r>
        <w:rPr>
          <w:rFonts w:ascii="Arial" w:hAnsi="Arial" w:cs="Arial"/>
        </w:rPr>
        <w:t>e giudicano “l</w:t>
      </w:r>
      <w:r w:rsidRPr="00E0409E">
        <w:rPr>
          <w:rFonts w:ascii="Arial" w:hAnsi="Arial" w:cs="Arial"/>
        </w:rPr>
        <w:t>’incentivo introdotto con l’articolo 26 del Decreto Rilancio e gli ulteriori ritocchi, che vengono ad esso apportati con l’articolo 42 della presente legge di bilanci</w:t>
      </w:r>
      <w:r>
        <w:rPr>
          <w:rFonts w:ascii="Arial" w:hAnsi="Arial" w:cs="Arial"/>
        </w:rPr>
        <w:t xml:space="preserve">o </w:t>
      </w:r>
      <w:r w:rsidRPr="00E0409E">
        <w:rPr>
          <w:rFonts w:ascii="Arial" w:hAnsi="Arial" w:cs="Arial"/>
          <w:b/>
          <w:bCs/>
        </w:rPr>
        <w:t>poco incisivi</w:t>
      </w:r>
      <w:r w:rsidRPr="00E0409E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Pr="00E0409E">
        <w:rPr>
          <w:rFonts w:ascii="Arial" w:hAnsi="Arial" w:cs="Arial"/>
          <w:b/>
          <w:bCs/>
        </w:rPr>
        <w:t xml:space="preserve">estremamente complicati </w:t>
      </w:r>
      <w:r w:rsidRPr="00E0409E">
        <w:rPr>
          <w:rFonts w:ascii="Arial" w:hAnsi="Arial" w:cs="Arial"/>
        </w:rPr>
        <w:t>e pieni di eccezioni e di eccezioni alle eccezion</w:t>
      </w:r>
      <w:r w:rsidR="00536D28">
        <w:rPr>
          <w:rFonts w:ascii="Arial" w:hAnsi="Arial" w:cs="Arial"/>
        </w:rPr>
        <w:t>i</w:t>
      </w:r>
      <w:r>
        <w:rPr>
          <w:rFonts w:ascii="Arial" w:hAnsi="Arial" w:cs="Arial"/>
        </w:rPr>
        <w:t>”</w:t>
      </w:r>
      <w:r w:rsidRPr="00E040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DC74C12" w14:textId="77777777" w:rsid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</w:p>
    <w:p w14:paraId="315D6981" w14:textId="38B658A2" w:rsid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Sui </w:t>
      </w:r>
      <w:r w:rsidRPr="00E0409E">
        <w:rPr>
          <w:rFonts w:ascii="Arial" w:hAnsi="Arial" w:cs="Arial"/>
          <w:b/>
          <w:bCs/>
        </w:rPr>
        <w:t>crediti d’imposta per nuovi investimenti</w:t>
      </w:r>
      <w:r>
        <w:rPr>
          <w:rFonts w:ascii="Arial" w:hAnsi="Arial" w:cs="Arial"/>
        </w:rPr>
        <w:t>, Postal ha affermato che “l</w:t>
      </w:r>
      <w:r w:rsidRPr="00E0409E">
        <w:rPr>
          <w:rFonts w:ascii="Arial" w:hAnsi="Arial" w:cs="Arial"/>
        </w:rPr>
        <w:t>’articolo 185 del disegno di legge di bilancio rilancia giustamente il credito di imposta per gli investimenti in beni strumentali nuovi.</w:t>
      </w:r>
      <w:r>
        <w:rPr>
          <w:rFonts w:ascii="Arial" w:hAnsi="Arial" w:cs="Arial"/>
        </w:rPr>
        <w:t xml:space="preserve"> </w:t>
      </w:r>
      <w:r w:rsidRPr="00E0409E">
        <w:rPr>
          <w:rFonts w:ascii="Arial" w:hAnsi="Arial" w:cs="Arial"/>
        </w:rPr>
        <w:t>Abbiamo altresì apprezzato che il Governo abbia da subito previsto che l’incentivo si applichi alle stesse condizioni e negli stessi limiti anche agli investimenti effettuati dagli esercenti arti e professioni.</w:t>
      </w:r>
      <w:r>
        <w:rPr>
          <w:rFonts w:ascii="Arial" w:hAnsi="Arial" w:cs="Arial"/>
        </w:rPr>
        <w:t xml:space="preserve"> </w:t>
      </w:r>
      <w:r w:rsidRPr="00E0409E">
        <w:rPr>
          <w:rFonts w:ascii="Arial" w:hAnsi="Arial" w:cs="Arial"/>
        </w:rPr>
        <w:t xml:space="preserve">È però necessario valutare anche in relazione a questa misura il </w:t>
      </w:r>
      <w:r w:rsidRPr="00E0409E">
        <w:rPr>
          <w:rFonts w:ascii="Arial" w:hAnsi="Arial" w:cs="Arial"/>
          <w:b/>
          <w:bCs/>
        </w:rPr>
        <w:t>potenziamento significativo</w:t>
      </w:r>
      <w:r w:rsidRPr="00E0409E">
        <w:rPr>
          <w:rFonts w:ascii="Arial" w:hAnsi="Arial" w:cs="Arial"/>
        </w:rPr>
        <w:t xml:space="preserve"> della intensità dell’aiuto, rispetto alle misure già riconosciute in passato relativamente ad esso.</w:t>
      </w:r>
      <w:r>
        <w:rPr>
          <w:rFonts w:ascii="Arial" w:hAnsi="Arial" w:cs="Arial"/>
        </w:rPr>
        <w:t xml:space="preserve"> </w:t>
      </w:r>
      <w:r w:rsidRPr="00E0409E">
        <w:rPr>
          <w:rFonts w:ascii="Arial" w:hAnsi="Arial" w:cs="Arial"/>
        </w:rPr>
        <w:t xml:space="preserve">Non siamo in condizioni di business </w:t>
      </w:r>
      <w:proofErr w:type="spellStart"/>
      <w:r w:rsidRPr="00E0409E">
        <w:rPr>
          <w:rFonts w:ascii="Arial" w:hAnsi="Arial" w:cs="Arial"/>
        </w:rPr>
        <w:t>as</w:t>
      </w:r>
      <w:proofErr w:type="spellEnd"/>
      <w:r w:rsidRPr="00E0409E">
        <w:rPr>
          <w:rFonts w:ascii="Arial" w:hAnsi="Arial" w:cs="Arial"/>
        </w:rPr>
        <w:t xml:space="preserve"> </w:t>
      </w:r>
      <w:proofErr w:type="spellStart"/>
      <w:r w:rsidRPr="00E0409E">
        <w:rPr>
          <w:rFonts w:ascii="Arial" w:hAnsi="Arial" w:cs="Arial"/>
        </w:rPr>
        <w:t>usual</w:t>
      </w:r>
      <w:proofErr w:type="spellEnd"/>
      <w:r w:rsidRPr="00E0409E">
        <w:rPr>
          <w:rFonts w:ascii="Arial" w:hAnsi="Arial" w:cs="Arial"/>
        </w:rPr>
        <w:t xml:space="preserve"> e non è possibile pensare di introdurre agevolazioni </w:t>
      </w:r>
      <w:proofErr w:type="spellStart"/>
      <w:r w:rsidRPr="00E0409E">
        <w:rPr>
          <w:rFonts w:ascii="Arial" w:hAnsi="Arial" w:cs="Arial"/>
        </w:rPr>
        <w:t>as</w:t>
      </w:r>
      <w:proofErr w:type="spellEnd"/>
      <w:r w:rsidRPr="00E0409E">
        <w:rPr>
          <w:rFonts w:ascii="Arial" w:hAnsi="Arial" w:cs="Arial"/>
        </w:rPr>
        <w:t xml:space="preserve"> </w:t>
      </w:r>
      <w:proofErr w:type="spellStart"/>
      <w:r w:rsidRPr="00E0409E">
        <w:rPr>
          <w:rFonts w:ascii="Arial" w:hAnsi="Arial" w:cs="Arial"/>
        </w:rPr>
        <w:t>usual</w:t>
      </w:r>
      <w:proofErr w:type="spellEnd"/>
      <w:r w:rsidR="00536D28">
        <w:rPr>
          <w:rFonts w:ascii="Arial" w:hAnsi="Arial" w:cs="Arial"/>
        </w:rPr>
        <w:t>”</w:t>
      </w:r>
      <w:r w:rsidRPr="00E0409E">
        <w:rPr>
          <w:rFonts w:ascii="Arial" w:hAnsi="Arial" w:cs="Arial"/>
        </w:rPr>
        <w:t>.</w:t>
      </w:r>
    </w:p>
    <w:p w14:paraId="071FE2EA" w14:textId="77777777" w:rsidR="00E0409E" w:rsidRP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</w:p>
    <w:p w14:paraId="40F93C63" w14:textId="723A001E" w:rsidR="00E0409E" w:rsidRP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la categoria il testo della legge di Bilancio ha “il </w:t>
      </w:r>
      <w:r w:rsidRPr="00E0409E">
        <w:rPr>
          <w:rFonts w:ascii="Arial" w:hAnsi="Arial" w:cs="Arial"/>
          <w:b/>
          <w:bCs/>
        </w:rPr>
        <w:t>freno a mano tirato</w:t>
      </w:r>
      <w:r>
        <w:rPr>
          <w:rFonts w:ascii="Arial" w:hAnsi="Arial" w:cs="Arial"/>
        </w:rPr>
        <w:t>” anche su “</w:t>
      </w:r>
      <w:r w:rsidRPr="00E0409E">
        <w:rPr>
          <w:rFonts w:ascii="Arial" w:hAnsi="Arial" w:cs="Arial"/>
          <w:b/>
          <w:bCs/>
        </w:rPr>
        <w:t>Superbonus aggregazioni imprese</w:t>
      </w:r>
      <w:r>
        <w:rPr>
          <w:rFonts w:ascii="Arial" w:hAnsi="Arial" w:cs="Arial"/>
        </w:rPr>
        <w:t>”. “</w:t>
      </w:r>
      <w:r w:rsidRPr="00E0409E">
        <w:rPr>
          <w:rFonts w:ascii="Arial" w:hAnsi="Arial" w:cs="Arial"/>
        </w:rPr>
        <w:t>L’articolo 39 del disegno di legge di bilancio introduce un corretto incentivo fiscale alle aggregazioni aziendali basato sulla trasformazione in credito di imposta delle attività per imposte anticipate correlate a perdite.</w:t>
      </w:r>
      <w:r>
        <w:rPr>
          <w:rFonts w:ascii="Arial" w:hAnsi="Arial" w:cs="Arial"/>
        </w:rPr>
        <w:t xml:space="preserve"> </w:t>
      </w:r>
      <w:r w:rsidRPr="00E0409E">
        <w:rPr>
          <w:rFonts w:ascii="Arial" w:hAnsi="Arial" w:cs="Arial"/>
        </w:rPr>
        <w:t>Dopo un anno drammatico</w:t>
      </w:r>
      <w:r>
        <w:rPr>
          <w:rFonts w:ascii="Arial" w:hAnsi="Arial" w:cs="Arial"/>
        </w:rPr>
        <w:t xml:space="preserve"> </w:t>
      </w:r>
      <w:r w:rsidRPr="00E0409E">
        <w:rPr>
          <w:rFonts w:ascii="Arial" w:hAnsi="Arial" w:cs="Arial"/>
        </w:rPr>
        <w:t>come il 2019</w:t>
      </w:r>
      <w:r>
        <w:rPr>
          <w:rFonts w:ascii="Arial" w:hAnsi="Arial" w:cs="Arial"/>
        </w:rPr>
        <w:t xml:space="preserve"> – ha affermato Postal - </w:t>
      </w:r>
      <w:r w:rsidRPr="00E0409E">
        <w:rPr>
          <w:rFonts w:ascii="Arial" w:hAnsi="Arial" w:cs="Arial"/>
        </w:rPr>
        <w:t xml:space="preserve">è un’idea corretta che deve essere però </w:t>
      </w:r>
      <w:r w:rsidRPr="00E0409E">
        <w:rPr>
          <w:rFonts w:ascii="Arial" w:hAnsi="Arial" w:cs="Arial"/>
          <w:b/>
          <w:bCs/>
        </w:rPr>
        <w:t>adeguatamente valorizzata</w:t>
      </w:r>
      <w:r w:rsidRPr="00E040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0409E">
        <w:rPr>
          <w:rFonts w:ascii="Arial" w:hAnsi="Arial" w:cs="Arial"/>
        </w:rPr>
        <w:t xml:space="preserve">Prevedere che l’agevolazione possa essere fruita solo in cambio del versamento all’Erario di un </w:t>
      </w:r>
      <w:r w:rsidRPr="00E0409E">
        <w:rPr>
          <w:rFonts w:ascii="Arial" w:hAnsi="Arial" w:cs="Arial"/>
          <w:b/>
          <w:bCs/>
        </w:rPr>
        <w:t>importo pari al 25%</w:t>
      </w:r>
      <w:r w:rsidRPr="00E0409E">
        <w:rPr>
          <w:rFonts w:ascii="Arial" w:hAnsi="Arial" w:cs="Arial"/>
        </w:rPr>
        <w:t xml:space="preserve"> di quelle stesse attività, </w:t>
      </w:r>
      <w:r w:rsidRPr="00E0409E">
        <w:rPr>
          <w:rFonts w:ascii="Arial" w:hAnsi="Arial" w:cs="Arial"/>
          <w:b/>
          <w:bCs/>
        </w:rPr>
        <w:t>depotenzia</w:t>
      </w:r>
      <w:r w:rsidRPr="00E0409E">
        <w:rPr>
          <w:rFonts w:ascii="Arial" w:hAnsi="Arial" w:cs="Arial"/>
        </w:rPr>
        <w:t xml:space="preserve"> in partenza l’istituto.</w:t>
      </w:r>
      <w:r>
        <w:rPr>
          <w:rFonts w:ascii="Arial" w:hAnsi="Arial" w:cs="Arial"/>
        </w:rPr>
        <w:t xml:space="preserve"> </w:t>
      </w:r>
      <w:r w:rsidRPr="00E0409E">
        <w:rPr>
          <w:rFonts w:ascii="Arial" w:hAnsi="Arial" w:cs="Arial"/>
        </w:rPr>
        <w:t xml:space="preserve">Quanto meno per i processi di aggregazioni delle PMI, </w:t>
      </w:r>
      <w:r w:rsidRPr="00E0409E">
        <w:rPr>
          <w:rFonts w:ascii="Arial" w:hAnsi="Arial" w:cs="Arial"/>
          <w:b/>
          <w:bCs/>
        </w:rPr>
        <w:t>questo tipo di “</w:t>
      </w:r>
      <w:proofErr w:type="spellStart"/>
      <w:r w:rsidRPr="00E0409E">
        <w:rPr>
          <w:rFonts w:ascii="Arial" w:hAnsi="Arial" w:cs="Arial"/>
          <w:b/>
          <w:bCs/>
        </w:rPr>
        <w:t>fee</w:t>
      </w:r>
      <w:proofErr w:type="spellEnd"/>
      <w:r w:rsidRPr="00E0409E">
        <w:rPr>
          <w:rFonts w:ascii="Arial" w:hAnsi="Arial" w:cs="Arial"/>
          <w:b/>
          <w:bCs/>
        </w:rPr>
        <w:t>” sull’incentivo andrebbe eliminato</w:t>
      </w:r>
      <w:r>
        <w:rPr>
          <w:rFonts w:ascii="Arial" w:hAnsi="Arial" w:cs="Arial"/>
        </w:rPr>
        <w:t>”.</w:t>
      </w:r>
    </w:p>
    <w:p w14:paraId="348E6939" w14:textId="77777777" w:rsidR="00E0409E" w:rsidRPr="00E0409E" w:rsidRDefault="00E0409E" w:rsidP="00E0409E">
      <w:pPr>
        <w:spacing w:after="0" w:line="360" w:lineRule="auto"/>
        <w:jc w:val="both"/>
        <w:rPr>
          <w:rFonts w:ascii="Arial" w:hAnsi="Arial" w:cs="Arial"/>
        </w:rPr>
      </w:pPr>
    </w:p>
    <w:p w14:paraId="2A3D3504" w14:textId="1A86F9C0" w:rsidR="00E0409E" w:rsidRPr="00E0409E" w:rsidRDefault="00E0409E" w:rsidP="00E040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E0409E">
        <w:rPr>
          <w:rFonts w:ascii="Arial" w:hAnsi="Arial" w:cs="Arial"/>
          <w:b/>
          <w:bCs/>
        </w:rPr>
        <w:t>Positivo</w:t>
      </w:r>
      <w:r>
        <w:rPr>
          <w:rFonts w:ascii="Arial" w:hAnsi="Arial" w:cs="Arial"/>
        </w:rPr>
        <w:t xml:space="preserve">” viene poi giudicato </w:t>
      </w:r>
      <w:r w:rsidRPr="00E0409E">
        <w:rPr>
          <w:rFonts w:ascii="Arial" w:hAnsi="Arial" w:cs="Arial"/>
        </w:rPr>
        <w:t xml:space="preserve">il prolungamento delle </w:t>
      </w:r>
      <w:r w:rsidRPr="00E0409E">
        <w:rPr>
          <w:rFonts w:ascii="Arial" w:hAnsi="Arial" w:cs="Arial"/>
          <w:b/>
          <w:bCs/>
        </w:rPr>
        <w:t>moratorie bancarie</w:t>
      </w:r>
      <w:r w:rsidRPr="00E0409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ma “è </w:t>
      </w:r>
      <w:r w:rsidRPr="00E0409E">
        <w:rPr>
          <w:rFonts w:ascii="Arial" w:hAnsi="Arial" w:cs="Arial"/>
        </w:rPr>
        <w:t>necessario iniziare a impostare sin d’ora una “</w:t>
      </w:r>
      <w:r w:rsidRPr="00E0409E">
        <w:rPr>
          <w:rFonts w:ascii="Arial" w:hAnsi="Arial" w:cs="Arial"/>
          <w:b/>
          <w:bCs/>
        </w:rPr>
        <w:t>fase 2</w:t>
      </w:r>
      <w:r w:rsidRPr="00E0409E">
        <w:rPr>
          <w:rFonts w:ascii="Arial" w:hAnsi="Arial" w:cs="Arial"/>
        </w:rPr>
        <w:t>”, ossia una fase successiva a quella delle moratorie, al fine di dare già adesso autentica prospettiva alle imprese</w:t>
      </w:r>
      <w:r>
        <w:rPr>
          <w:rFonts w:ascii="Arial" w:hAnsi="Arial" w:cs="Arial"/>
        </w:rPr>
        <w:t>”. “</w:t>
      </w:r>
      <w:r w:rsidRPr="00E0409E">
        <w:rPr>
          <w:rFonts w:ascii="Arial" w:hAnsi="Arial" w:cs="Arial"/>
        </w:rPr>
        <w:t>È essenziale</w:t>
      </w:r>
      <w:r>
        <w:rPr>
          <w:rFonts w:ascii="Arial" w:hAnsi="Arial" w:cs="Arial"/>
        </w:rPr>
        <w:t>”, ha detto Postal, “</w:t>
      </w:r>
      <w:r w:rsidRPr="00E0409E">
        <w:rPr>
          <w:rFonts w:ascii="Arial" w:hAnsi="Arial" w:cs="Arial"/>
        </w:rPr>
        <w:t xml:space="preserve">che, dopo la fase delle moratorie, sia dato spazio a una fase in cui banche e imprese possano concordare </w:t>
      </w:r>
      <w:r w:rsidRPr="00E0409E">
        <w:rPr>
          <w:rFonts w:ascii="Arial" w:hAnsi="Arial" w:cs="Arial"/>
          <w:b/>
          <w:bCs/>
        </w:rPr>
        <w:lastRenderedPageBreak/>
        <w:t>ristrutturazioni dei piani di rientro dei finanziamenti</w:t>
      </w:r>
      <w:r w:rsidRPr="00E0409E">
        <w:rPr>
          <w:rFonts w:ascii="Arial" w:hAnsi="Arial" w:cs="Arial"/>
        </w:rPr>
        <w:t>, che, con il termine delle moratorie, tornano a decorrere, senza che queste “concessioni straordinarie post COVID” determinino gli effetti che altrimenti determinerebbero sulla qualità del credito oggetto delle concessioni</w:t>
      </w:r>
      <w:r>
        <w:rPr>
          <w:rFonts w:ascii="Arial" w:hAnsi="Arial" w:cs="Arial"/>
        </w:rPr>
        <w:t>”</w:t>
      </w:r>
      <w:r w:rsidRPr="00E0409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</w:t>
      </w:r>
      <w:r w:rsidRPr="00E0409E">
        <w:rPr>
          <w:rFonts w:ascii="Arial" w:hAnsi="Arial" w:cs="Arial"/>
        </w:rPr>
        <w:t>enza</w:t>
      </w:r>
      <w:r>
        <w:rPr>
          <w:rFonts w:ascii="Arial" w:hAnsi="Arial" w:cs="Arial"/>
        </w:rPr>
        <w:t xml:space="preserve"> una</w:t>
      </w:r>
      <w:r w:rsidRPr="00E0409E">
        <w:rPr>
          <w:rFonts w:ascii="Arial" w:hAnsi="Arial" w:cs="Arial"/>
        </w:rPr>
        <w:t xml:space="preserve"> norma </w:t>
      </w:r>
      <w:r w:rsidRPr="00E0409E">
        <w:rPr>
          <w:rFonts w:ascii="Arial" w:hAnsi="Arial" w:cs="Arial"/>
          <w:i/>
        </w:rPr>
        <w:t>ad hoc</w:t>
      </w:r>
      <w:r w:rsidRPr="00E0409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ha proseguito Postal “</w:t>
      </w:r>
      <w:r w:rsidRPr="00E0409E">
        <w:rPr>
          <w:rFonts w:ascii="Arial" w:hAnsi="Arial" w:cs="Arial"/>
        </w:rPr>
        <w:t>le concessioni delle banche sul rientro dei crediti da finanziamento, che vantano nei confronti della clientela, comportano un peggioramento del merito creditizio dei clienti e obblighi di accantonamento per le banche, con conseguente stretta creditizia per i primi e minore agibilità nel rilascio di credito da parte delle seconde</w:t>
      </w:r>
      <w:r>
        <w:rPr>
          <w:rFonts w:ascii="Arial" w:hAnsi="Arial" w:cs="Arial"/>
        </w:rPr>
        <w:t>”</w:t>
      </w:r>
      <w:r w:rsidRPr="00E0409E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“T</w:t>
      </w:r>
      <w:r w:rsidRPr="00E0409E">
        <w:rPr>
          <w:rFonts w:ascii="Arial" w:hAnsi="Arial" w:cs="Arial"/>
        </w:rPr>
        <w:t>rattandosi di materie la cui regolamentazione è ormai prerogativa delle competenti Autorità europee, è opportuno che le istituzioni italiane si attivino con determinazione nelle competenti sedi europee affinché, quanto prima, queste ineludibile esigenza trovi accoglimento</w:t>
      </w:r>
      <w:r>
        <w:rPr>
          <w:rFonts w:ascii="Arial" w:hAnsi="Arial" w:cs="Arial"/>
        </w:rPr>
        <w:t>”</w:t>
      </w:r>
      <w:r w:rsidRPr="00E0409E">
        <w:rPr>
          <w:rFonts w:ascii="Arial" w:hAnsi="Arial" w:cs="Arial"/>
        </w:rPr>
        <w:t>.</w:t>
      </w:r>
    </w:p>
    <w:p w14:paraId="09279F64" w14:textId="77777777" w:rsidR="00E0409E" w:rsidRPr="00E0409E" w:rsidRDefault="00E0409E" w:rsidP="00E0409E">
      <w:pPr>
        <w:spacing w:after="0" w:line="360" w:lineRule="auto"/>
        <w:mirrorIndents/>
        <w:jc w:val="both"/>
        <w:rPr>
          <w:rFonts w:ascii="Arial" w:hAnsi="Arial" w:cs="Arial"/>
        </w:rPr>
      </w:pPr>
    </w:p>
    <w:sectPr w:rsidR="00E0409E" w:rsidRPr="00E0409E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A897A" w14:textId="77777777" w:rsidR="008F6755" w:rsidRDefault="008F6755" w:rsidP="00627996">
      <w:r>
        <w:separator/>
      </w:r>
    </w:p>
  </w:endnote>
  <w:endnote w:type="continuationSeparator" w:id="0">
    <w:p w14:paraId="4F27E2CF" w14:textId="77777777" w:rsidR="008F6755" w:rsidRDefault="008F6755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C0564" w14:textId="77777777" w:rsidR="008F6755" w:rsidRDefault="008F6755" w:rsidP="00627996">
      <w:r>
        <w:separator/>
      </w:r>
    </w:p>
  </w:footnote>
  <w:footnote w:type="continuationSeparator" w:id="0">
    <w:p w14:paraId="3EDE14C3" w14:textId="77777777" w:rsidR="008F6755" w:rsidRDefault="008F6755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81FB6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200E0BC9" wp14:editId="55E6DAA3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E3D48"/>
    <w:multiLevelType w:val="hybridMultilevel"/>
    <w:tmpl w:val="CEC0246C"/>
    <w:lvl w:ilvl="0" w:tplc="85BE4672">
      <w:start w:val="3"/>
      <w:numFmt w:val="bullet"/>
      <w:lvlText w:val="-"/>
      <w:lvlJc w:val="left"/>
      <w:pPr>
        <w:ind w:left="720" w:hanging="360"/>
      </w:pPr>
      <w:rPr>
        <w:rFonts w:ascii="Times" w:eastAsia="Calibri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082C"/>
    <w:rsid w:val="001B3759"/>
    <w:rsid w:val="001D0C92"/>
    <w:rsid w:val="00206248"/>
    <w:rsid w:val="00237BEE"/>
    <w:rsid w:val="002B1170"/>
    <w:rsid w:val="002B1507"/>
    <w:rsid w:val="002E31F2"/>
    <w:rsid w:val="003248FA"/>
    <w:rsid w:val="00366040"/>
    <w:rsid w:val="003C2FC0"/>
    <w:rsid w:val="00536D28"/>
    <w:rsid w:val="00595991"/>
    <w:rsid w:val="00627996"/>
    <w:rsid w:val="00656CC5"/>
    <w:rsid w:val="00734687"/>
    <w:rsid w:val="008F6755"/>
    <w:rsid w:val="00986D90"/>
    <w:rsid w:val="009D1104"/>
    <w:rsid w:val="009F27EC"/>
    <w:rsid w:val="00AC6BB0"/>
    <w:rsid w:val="00C668AE"/>
    <w:rsid w:val="00D0285A"/>
    <w:rsid w:val="00D41E98"/>
    <w:rsid w:val="00DB4B99"/>
    <w:rsid w:val="00E0409E"/>
    <w:rsid w:val="00ED4989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4341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E0409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3</cp:revision>
  <dcterms:created xsi:type="dcterms:W3CDTF">2020-11-21T10:39:00Z</dcterms:created>
  <dcterms:modified xsi:type="dcterms:W3CDTF">2020-11-21T11:38:00Z</dcterms:modified>
</cp:coreProperties>
</file>