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D488" w14:textId="77777777" w:rsidR="00144BD8" w:rsidRPr="00CA586E" w:rsidRDefault="00144BD8" w:rsidP="00CA586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31E7B1" w14:textId="5C880549" w:rsidR="0081049B" w:rsidRPr="004E6975" w:rsidRDefault="0081049B" w:rsidP="00CA58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u w:val="single"/>
          <w:lang w:eastAsia="it-IT"/>
        </w:rPr>
      </w:pPr>
      <w:r w:rsidRPr="004E6975">
        <w:rPr>
          <w:rFonts w:ascii="Arial" w:eastAsia="Times New Roman" w:hAnsi="Arial" w:cs="Arial"/>
          <w:b/>
          <w:bCs/>
          <w:color w:val="FF0000"/>
          <w:u w:val="single"/>
          <w:lang w:eastAsia="it-IT"/>
        </w:rPr>
        <w:t>COMUNICATO STAMPA</w:t>
      </w:r>
    </w:p>
    <w:p w14:paraId="695340B0" w14:textId="77777777" w:rsidR="00CA586E" w:rsidRPr="00CA586E" w:rsidRDefault="00CA586E" w:rsidP="00CA58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</w:pPr>
    </w:p>
    <w:p w14:paraId="76F063C6" w14:textId="77777777" w:rsidR="001305CF" w:rsidRPr="004E6975" w:rsidRDefault="001305CF" w:rsidP="00CA586E">
      <w:pPr>
        <w:suppressAutoHyphens/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3"/>
          <w:szCs w:val="23"/>
          <w:lang w:eastAsia="ar-SA"/>
        </w:rPr>
      </w:pPr>
      <w:r w:rsidRPr="004E6975">
        <w:rPr>
          <w:rFonts w:ascii="Arial" w:eastAsia="Times New Roman" w:hAnsi="Arial" w:cs="Arial"/>
          <w:b/>
          <w:bCs/>
          <w:sz w:val="23"/>
          <w:szCs w:val="23"/>
          <w:lang w:eastAsia="ar-SA"/>
        </w:rPr>
        <w:t>COMMERCIALISTI AL LEGISLATORE: “SI LAVORI PER UN AMPLIAMENTO DELL’EQUO COMPENSO”</w:t>
      </w:r>
    </w:p>
    <w:p w14:paraId="36ADF43D" w14:textId="754E6B9B" w:rsidR="00CA586E" w:rsidRPr="004E6975" w:rsidRDefault="001305CF" w:rsidP="00CA586E">
      <w:pPr>
        <w:suppressAutoHyphens/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3"/>
          <w:szCs w:val="23"/>
          <w:lang w:eastAsia="ar-SA"/>
        </w:rPr>
      </w:pPr>
      <w:r w:rsidRPr="004E6975">
        <w:rPr>
          <w:rFonts w:ascii="Arial" w:eastAsia="Times New Roman" w:hAnsi="Arial" w:cs="Arial"/>
          <w:b/>
          <w:bCs/>
          <w:sz w:val="23"/>
          <w:szCs w:val="23"/>
          <w:lang w:eastAsia="ar-SA"/>
        </w:rPr>
        <w:t>L’Appello della categoria alla vigilia della ripresa dei lavori della Commissione Giustizia della Camera: “La norma va estesa a qualsiasi accordo del professionista con un diverso committente, non può essere limitata alla sola contrattazione con banche, assicurazioni e PA”</w:t>
      </w:r>
    </w:p>
    <w:p w14:paraId="33A6D16B" w14:textId="77777777" w:rsidR="001305CF" w:rsidRPr="004E6975" w:rsidRDefault="001305CF" w:rsidP="00CA586E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14:paraId="21BCD688" w14:textId="4179C599" w:rsidR="001305CF" w:rsidRPr="004E6975" w:rsidRDefault="001305CF" w:rsidP="00CA586E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  <w:r w:rsidRPr="004E6975">
        <w:rPr>
          <w:rFonts w:ascii="Arial" w:eastAsia="Times New Roman" w:hAnsi="Arial" w:cs="Arial"/>
          <w:i/>
          <w:iCs/>
          <w:lang w:eastAsia="ar-SA"/>
        </w:rPr>
        <w:t>Roma, 21 aprile 2021 -</w:t>
      </w:r>
      <w:r w:rsidRPr="004E6975">
        <w:rPr>
          <w:rFonts w:ascii="Arial" w:eastAsia="Times New Roman" w:hAnsi="Arial" w:cs="Arial"/>
          <w:lang w:eastAsia="ar-SA"/>
        </w:rPr>
        <w:t xml:space="preserve"> Prendere atto della necessità di </w:t>
      </w:r>
      <w:r w:rsidRPr="004E6975">
        <w:rPr>
          <w:rFonts w:ascii="Arial" w:eastAsia="Times New Roman" w:hAnsi="Arial" w:cs="Arial"/>
          <w:b/>
          <w:bCs/>
          <w:lang w:eastAsia="ar-SA"/>
        </w:rPr>
        <w:t>estendere la disciplina dell’equo compenso</w:t>
      </w:r>
      <w:r w:rsidRPr="004E6975">
        <w:rPr>
          <w:rFonts w:ascii="Arial" w:eastAsia="Times New Roman" w:hAnsi="Arial" w:cs="Arial"/>
          <w:lang w:eastAsia="ar-SA"/>
        </w:rPr>
        <w:t xml:space="preserve">, oggi applicabile solo nella contrattazione massiva tra professionista e contraenti forti quali banche e assicurazioni o tra professionista e Pubblica Amministrazione, anche a un </w:t>
      </w:r>
      <w:bookmarkStart w:id="0" w:name="_Hlk69901179"/>
      <w:r w:rsidRPr="004E6975">
        <w:rPr>
          <w:rFonts w:ascii="Arial" w:eastAsia="Times New Roman" w:hAnsi="Arial" w:cs="Arial"/>
          <w:b/>
          <w:bCs/>
          <w:lang w:eastAsia="ar-SA"/>
        </w:rPr>
        <w:t>qualsiasi accordo del professionista con un diverso committente</w:t>
      </w:r>
      <w:bookmarkEnd w:id="0"/>
      <w:r w:rsidRPr="004E6975">
        <w:rPr>
          <w:rFonts w:ascii="Arial" w:eastAsia="Times New Roman" w:hAnsi="Arial" w:cs="Arial"/>
          <w:lang w:eastAsia="ar-SA"/>
        </w:rPr>
        <w:t xml:space="preserve">. </w:t>
      </w:r>
      <w:r w:rsidR="00CA586E" w:rsidRPr="004E6975">
        <w:rPr>
          <w:rFonts w:ascii="Arial" w:eastAsia="Times New Roman" w:hAnsi="Arial" w:cs="Arial"/>
          <w:lang w:eastAsia="ar-SA"/>
        </w:rPr>
        <w:t xml:space="preserve">È </w:t>
      </w:r>
      <w:r w:rsidRPr="004E6975">
        <w:rPr>
          <w:rFonts w:ascii="Arial" w:eastAsia="Times New Roman" w:hAnsi="Arial" w:cs="Arial"/>
          <w:lang w:eastAsia="ar-SA"/>
        </w:rPr>
        <w:t xml:space="preserve">l’appello lanciato dal Consiglio nazionale dei commercialisti alla vigilia della ripresa, in </w:t>
      </w:r>
      <w:r w:rsidRPr="004E6975">
        <w:rPr>
          <w:rFonts w:ascii="Arial" w:eastAsia="Times New Roman" w:hAnsi="Arial" w:cs="Arial"/>
          <w:b/>
          <w:bCs/>
          <w:lang w:eastAsia="ar-SA"/>
        </w:rPr>
        <w:t>Commissione Giustizia della Camera</w:t>
      </w:r>
      <w:r w:rsidRPr="004E6975">
        <w:rPr>
          <w:rFonts w:ascii="Arial" w:eastAsia="Times New Roman" w:hAnsi="Arial" w:cs="Arial"/>
          <w:lang w:eastAsia="ar-SA"/>
        </w:rPr>
        <w:t xml:space="preserve">, dell’esame dei contenuti dell’AC 301 (Meloni) e delle abbinate proposte AC 1979 (Mandelli) e AC 2192 (Morrone) sul tema dell’equo compenso. </w:t>
      </w:r>
    </w:p>
    <w:p w14:paraId="647EDF05" w14:textId="77777777" w:rsidR="001305CF" w:rsidRPr="004E6975" w:rsidRDefault="001305CF" w:rsidP="00CA586E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723EA4D2" w14:textId="22F097D4" w:rsidR="001305CF" w:rsidRPr="004E6975" w:rsidRDefault="001305CF" w:rsidP="00CA586E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  <w:r w:rsidRPr="004E6975">
        <w:rPr>
          <w:rFonts w:ascii="Arial" w:eastAsia="Times New Roman" w:hAnsi="Arial" w:cs="Arial"/>
          <w:lang w:eastAsia="ar-SA"/>
        </w:rPr>
        <w:t xml:space="preserve">“I lavori della Commissione che ripartiranno domani </w:t>
      </w:r>
      <w:r w:rsidR="007A760F">
        <w:rPr>
          <w:rFonts w:ascii="Arial" w:eastAsia="Times New Roman" w:hAnsi="Arial" w:cs="Arial"/>
          <w:lang w:eastAsia="ar-SA"/>
        </w:rPr>
        <w:t>–</w:t>
      </w:r>
      <w:r w:rsidRPr="004E6975">
        <w:rPr>
          <w:rFonts w:ascii="Arial" w:eastAsia="Times New Roman" w:hAnsi="Arial" w:cs="Arial"/>
          <w:lang w:eastAsia="ar-SA"/>
        </w:rPr>
        <w:t xml:space="preserve"> commenta il presidente nazionale della categoria, </w:t>
      </w:r>
      <w:r w:rsidRPr="004E6975">
        <w:rPr>
          <w:rFonts w:ascii="Arial" w:eastAsia="Times New Roman" w:hAnsi="Arial" w:cs="Arial"/>
          <w:b/>
          <w:bCs/>
          <w:lang w:eastAsia="ar-SA"/>
        </w:rPr>
        <w:t xml:space="preserve">Massimo Miani </w:t>
      </w:r>
      <w:r w:rsidR="007A760F">
        <w:rPr>
          <w:rFonts w:ascii="Arial" w:eastAsia="Times New Roman" w:hAnsi="Arial" w:cs="Arial"/>
          <w:lang w:eastAsia="ar-SA"/>
        </w:rPr>
        <w:t>–</w:t>
      </w:r>
      <w:r w:rsidRPr="004E6975">
        <w:rPr>
          <w:rFonts w:ascii="Arial" w:eastAsia="Times New Roman" w:hAnsi="Arial" w:cs="Arial"/>
          <w:lang w:eastAsia="ar-SA"/>
        </w:rPr>
        <w:t xml:space="preserve"> rappresentano indubbiamente un’importante occasione a disposizione del legislatore per contribuire al miglioramento della vigente disciplina della tutela dell’equo compenso</w:t>
      </w:r>
      <w:r w:rsidR="007A760F">
        <w:rPr>
          <w:rFonts w:ascii="Arial" w:eastAsia="Times New Roman" w:hAnsi="Arial" w:cs="Arial"/>
          <w:lang w:eastAsia="ar-SA"/>
        </w:rPr>
        <w:t>,</w:t>
      </w:r>
      <w:r w:rsidRPr="004E6975">
        <w:rPr>
          <w:rFonts w:ascii="Arial" w:eastAsia="Times New Roman" w:hAnsi="Arial" w:cs="Arial"/>
          <w:lang w:eastAsia="ar-SA"/>
        </w:rPr>
        <w:t xml:space="preserve"> assicurando una maggiore coerenza tra questa e i principi di tutela del lavoro, di derivazione costituzionale e codicistica”.</w:t>
      </w:r>
    </w:p>
    <w:p w14:paraId="1A7A0E13" w14:textId="77777777" w:rsidR="00CA586E" w:rsidRPr="004E6975" w:rsidRDefault="00CA586E" w:rsidP="00CA586E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6845FC9B" w14:textId="02FD67BA" w:rsidR="001305CF" w:rsidRPr="004E6975" w:rsidRDefault="001305CF" w:rsidP="00CA586E">
      <w:pPr>
        <w:suppressAutoHyphens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  <w:r w:rsidRPr="004E6975">
        <w:rPr>
          <w:rFonts w:ascii="Arial" w:eastAsia="Times New Roman" w:hAnsi="Arial" w:cs="Arial"/>
          <w:lang w:eastAsia="ar-SA"/>
        </w:rPr>
        <w:t xml:space="preserve">“L’intervento del 2017 che, dopo l’abrogazione delle tariffe minime nel 2012, ha introdotto specifiche norme di legge a tutela della corresponsione di un equo compenso garantendo </w:t>
      </w:r>
      <w:r w:rsidRPr="004E6975">
        <w:rPr>
          <w:rFonts w:ascii="Arial" w:eastAsia="Times New Roman" w:hAnsi="Arial" w:cs="Arial"/>
          <w:lang w:eastAsia="it-IT"/>
        </w:rPr>
        <w:t xml:space="preserve">il ricorso obbligatorio all’applicazione dei parametri ministeriali nei rapporti tra professionista e cliente cosiddetto forte e Pubblica amministrazione </w:t>
      </w:r>
      <w:r w:rsidR="00CA586E" w:rsidRPr="004E6975">
        <w:rPr>
          <w:rFonts w:ascii="Arial" w:eastAsia="Times New Roman" w:hAnsi="Arial" w:cs="Arial"/>
          <w:lang w:eastAsia="it-IT"/>
        </w:rPr>
        <w:t>–</w:t>
      </w:r>
      <w:r w:rsidRPr="004E6975">
        <w:rPr>
          <w:rFonts w:ascii="Arial" w:eastAsia="Times New Roman" w:hAnsi="Arial" w:cs="Arial"/>
          <w:lang w:eastAsia="it-IT"/>
        </w:rPr>
        <w:t xml:space="preserve"> aggiunge Miani </w:t>
      </w:r>
      <w:r w:rsidR="00CA586E" w:rsidRPr="004E6975">
        <w:rPr>
          <w:rFonts w:ascii="Arial" w:eastAsia="Times New Roman" w:hAnsi="Arial" w:cs="Arial"/>
          <w:lang w:eastAsia="it-IT"/>
        </w:rPr>
        <w:t>–</w:t>
      </w:r>
      <w:r w:rsidRPr="004E6975">
        <w:rPr>
          <w:rFonts w:ascii="Arial" w:eastAsia="Times New Roman" w:hAnsi="Arial" w:cs="Arial"/>
          <w:lang w:eastAsia="it-IT"/>
        </w:rPr>
        <w:t xml:space="preserve"> </w:t>
      </w:r>
      <w:r w:rsidRPr="004E6975">
        <w:rPr>
          <w:rFonts w:ascii="Arial" w:eastAsia="Times New Roman" w:hAnsi="Arial" w:cs="Arial"/>
          <w:lang w:eastAsia="ar-SA"/>
        </w:rPr>
        <w:t xml:space="preserve">è apparso </w:t>
      </w:r>
      <w:r w:rsidRPr="004E6975">
        <w:rPr>
          <w:rFonts w:ascii="Arial" w:eastAsia="Times New Roman" w:hAnsi="Arial" w:cs="Arial"/>
          <w:b/>
          <w:bCs/>
          <w:lang w:eastAsia="ar-SA"/>
        </w:rPr>
        <w:t>più che apprezzabile</w:t>
      </w:r>
      <w:r w:rsidRPr="004E6975">
        <w:rPr>
          <w:rFonts w:ascii="Arial" w:eastAsia="Times New Roman" w:hAnsi="Arial" w:cs="Arial"/>
          <w:lang w:eastAsia="ar-SA"/>
        </w:rPr>
        <w:t xml:space="preserve"> in quanto segno della presa di coscienza, da parte del legislatore, del fatto che la mancanza di norme tariffarie di riferimento si è </w:t>
      </w:r>
      <w:r w:rsidRPr="004E6975">
        <w:rPr>
          <w:rFonts w:ascii="Arial" w:eastAsia="Times New Roman" w:hAnsi="Arial" w:cs="Arial"/>
          <w:b/>
          <w:bCs/>
          <w:lang w:eastAsia="ar-SA"/>
        </w:rPr>
        <w:t>ripercossa negativamente</w:t>
      </w:r>
      <w:r w:rsidRPr="004E6975">
        <w:rPr>
          <w:rFonts w:ascii="Arial" w:eastAsia="Times New Roman" w:hAnsi="Arial" w:cs="Arial"/>
          <w:lang w:eastAsia="ar-SA"/>
        </w:rPr>
        <w:t xml:space="preserve"> sia sulle </w:t>
      </w:r>
      <w:r w:rsidRPr="004E6975">
        <w:rPr>
          <w:rFonts w:ascii="Arial" w:eastAsia="Times New Roman" w:hAnsi="Arial" w:cs="Arial"/>
          <w:b/>
          <w:bCs/>
          <w:lang w:eastAsia="ar-SA"/>
        </w:rPr>
        <w:t>categorie professionali sia sul mercato</w:t>
      </w:r>
      <w:r w:rsidRPr="004E6975">
        <w:rPr>
          <w:rFonts w:ascii="Arial" w:eastAsia="Times New Roman" w:hAnsi="Arial" w:cs="Arial"/>
          <w:lang w:eastAsia="ar-SA"/>
        </w:rPr>
        <w:t>”.  Le disposizioni attualmente vigenti, secondo il numero uno dei commercialisti, “</w:t>
      </w:r>
      <w:r w:rsidRPr="004E6975">
        <w:rPr>
          <w:rFonts w:ascii="Arial" w:eastAsia="Times New Roman" w:hAnsi="Arial" w:cs="Arial"/>
          <w:b/>
          <w:bCs/>
          <w:lang w:eastAsia="ar-SA"/>
        </w:rPr>
        <w:t xml:space="preserve">non appaiono però ancora sufficienti </w:t>
      </w:r>
      <w:r w:rsidRPr="004E6975">
        <w:rPr>
          <w:rFonts w:ascii="Arial" w:eastAsia="Times New Roman" w:hAnsi="Arial" w:cs="Arial"/>
          <w:lang w:eastAsia="ar-SA"/>
        </w:rPr>
        <w:t xml:space="preserve">a garantire effettivamente la tutela del principio dell’equo compenso, che deve necessariamente intendersi come capacità di garantire realmente il diritto del professionista alla corresponsione di un </w:t>
      </w:r>
      <w:r w:rsidRPr="004E6975">
        <w:rPr>
          <w:rFonts w:ascii="Arial" w:eastAsia="Times New Roman" w:hAnsi="Arial" w:cs="Arial"/>
          <w:b/>
          <w:bCs/>
          <w:lang w:eastAsia="ar-SA"/>
        </w:rPr>
        <w:t>compenso proporzionato alla quantità e alla qualità del lavoro svolto</w:t>
      </w:r>
      <w:r w:rsidRPr="004E6975">
        <w:rPr>
          <w:rFonts w:ascii="Arial" w:eastAsia="Times New Roman" w:hAnsi="Arial" w:cs="Arial"/>
          <w:lang w:eastAsia="ar-SA"/>
        </w:rPr>
        <w:t xml:space="preserve">, tenendo conto della natura, del contenuto e delle caratteristiche della prestazione professionale, conformemente a quanto previsto dall’art. 36 della Costituzione e dall’art. 2233 del Codice civile. E questo in ogni situazione e nei confronti di qualsiasi cliente, in virtù del rispetto di tali principi di </w:t>
      </w:r>
      <w:r w:rsidRPr="004E6975">
        <w:rPr>
          <w:rFonts w:ascii="Arial" w:eastAsia="Times New Roman" w:hAnsi="Arial" w:cs="Arial"/>
          <w:b/>
          <w:bCs/>
          <w:lang w:eastAsia="ar-SA"/>
        </w:rPr>
        <w:t>derivazione costituzionale e codicistica</w:t>
      </w:r>
      <w:r w:rsidRPr="004E6975">
        <w:rPr>
          <w:rFonts w:ascii="Arial" w:eastAsia="Times New Roman" w:hAnsi="Arial" w:cs="Arial"/>
          <w:lang w:eastAsia="ar-SA"/>
        </w:rPr>
        <w:t>”.</w:t>
      </w:r>
    </w:p>
    <w:p w14:paraId="19F00FAB" w14:textId="77777777" w:rsidR="00CA586E" w:rsidRPr="004E6975" w:rsidRDefault="00CA586E" w:rsidP="00CA586E">
      <w:pPr>
        <w:suppressAutoHyphens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5FF8AAF0" w14:textId="2995C88C" w:rsidR="001305CF" w:rsidRPr="004E6975" w:rsidRDefault="001305CF" w:rsidP="00CA586E">
      <w:pPr>
        <w:suppressAutoHyphens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  <w:r w:rsidRPr="004E6975">
        <w:rPr>
          <w:rFonts w:ascii="Arial" w:eastAsia="Times New Roman" w:hAnsi="Arial" w:cs="Arial"/>
          <w:lang w:eastAsia="ar-SA"/>
        </w:rPr>
        <w:t xml:space="preserve">Da questo punto di vista, aggiunge il Vicepresidente del Consiglio nazionale della categoria, </w:t>
      </w:r>
      <w:r w:rsidRPr="004E6975">
        <w:rPr>
          <w:rFonts w:ascii="Arial" w:eastAsia="Times New Roman" w:hAnsi="Arial" w:cs="Arial"/>
          <w:b/>
          <w:bCs/>
          <w:lang w:eastAsia="ar-SA"/>
        </w:rPr>
        <w:t>Giorgio Luchetta</w:t>
      </w:r>
      <w:r w:rsidRPr="004E6975">
        <w:rPr>
          <w:rFonts w:ascii="Arial" w:eastAsia="Times New Roman" w:hAnsi="Arial" w:cs="Arial"/>
          <w:lang w:eastAsia="ar-SA"/>
        </w:rPr>
        <w:t xml:space="preserve">, “è fortemente indicativo che tutti i DDL attualmente all’esame della Commissione della Camera, abbiano proposto, seppur in termini diversi, un </w:t>
      </w:r>
      <w:r w:rsidRPr="004E6975">
        <w:rPr>
          <w:rFonts w:ascii="Arial" w:eastAsia="Times New Roman" w:hAnsi="Arial" w:cs="Arial"/>
          <w:b/>
          <w:bCs/>
          <w:lang w:eastAsia="ar-SA"/>
        </w:rPr>
        <w:t>significativo ampliamento</w:t>
      </w:r>
      <w:r w:rsidRPr="004E6975">
        <w:rPr>
          <w:rFonts w:ascii="Arial" w:eastAsia="Times New Roman" w:hAnsi="Arial" w:cs="Arial"/>
          <w:lang w:eastAsia="ar-SA"/>
        </w:rPr>
        <w:t xml:space="preserve"> dell’ambito applicativo della disciplina, sia attraverso il </w:t>
      </w:r>
      <w:r w:rsidRPr="004E6975">
        <w:rPr>
          <w:rFonts w:ascii="Arial" w:eastAsia="Times New Roman" w:hAnsi="Arial" w:cs="Arial"/>
          <w:b/>
          <w:bCs/>
          <w:lang w:eastAsia="ar-SA"/>
        </w:rPr>
        <w:t>superamento</w:t>
      </w:r>
      <w:r w:rsidRPr="004E6975">
        <w:rPr>
          <w:rFonts w:ascii="Arial" w:eastAsia="Times New Roman" w:hAnsi="Arial" w:cs="Arial"/>
          <w:lang w:eastAsia="ar-SA"/>
        </w:rPr>
        <w:t xml:space="preserve"> della nozione di cliente forte, sia tramite il riferimento a </w:t>
      </w:r>
      <w:r w:rsidRPr="004E6975">
        <w:rPr>
          <w:rFonts w:ascii="Arial" w:eastAsia="Times New Roman" w:hAnsi="Arial" w:cs="Arial"/>
          <w:b/>
          <w:bCs/>
          <w:lang w:eastAsia="ar-SA"/>
        </w:rPr>
        <w:t>tipologie di accordo diverse</w:t>
      </w:r>
      <w:r w:rsidRPr="004E6975">
        <w:rPr>
          <w:rFonts w:ascii="Arial" w:eastAsia="Times New Roman" w:hAnsi="Arial" w:cs="Arial"/>
          <w:lang w:eastAsia="ar-SA"/>
        </w:rPr>
        <w:t xml:space="preserve"> dalle convenzioni unilateralmente predisposte, evidentemente prendendo atto di quanto evidenziato da tempo dalla nostra categoria nelle numerose interlocuzioni istituzionali di questi ultimi anni”.</w:t>
      </w:r>
    </w:p>
    <w:p w14:paraId="723B69E3" w14:textId="77777777" w:rsidR="00CA586E" w:rsidRPr="004E6975" w:rsidRDefault="00CA586E" w:rsidP="00CA586E">
      <w:pPr>
        <w:suppressAutoHyphens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61C290DA" w14:textId="728D2658" w:rsidR="001305CF" w:rsidRPr="004E6975" w:rsidRDefault="001305CF" w:rsidP="00CA586E">
      <w:pPr>
        <w:suppressAutoHyphens/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  <w:r w:rsidRPr="004E6975">
        <w:rPr>
          <w:rFonts w:ascii="Arial" w:eastAsia="Times New Roman" w:hAnsi="Arial" w:cs="Arial"/>
          <w:lang w:eastAsia="ar-SA"/>
        </w:rPr>
        <w:t xml:space="preserve">Una scelta che deriva, secondo Luchetta “innanzitutto </w:t>
      </w:r>
      <w:r w:rsidRPr="004E6975">
        <w:rPr>
          <w:rFonts w:ascii="Arial" w:eastAsia="Times New Roman" w:hAnsi="Arial" w:cs="Arial"/>
          <w:lang w:eastAsia="it-IT"/>
        </w:rPr>
        <w:t xml:space="preserve">dalla constatazione che i contraenti forti hanno fatto sovente ricorso ad </w:t>
      </w:r>
      <w:r w:rsidRPr="004E6975">
        <w:rPr>
          <w:rFonts w:ascii="Arial" w:eastAsia="Times New Roman" w:hAnsi="Arial" w:cs="Arial"/>
          <w:b/>
          <w:bCs/>
          <w:lang w:eastAsia="it-IT"/>
        </w:rPr>
        <w:t>accordi formalmente diversi</w:t>
      </w:r>
      <w:r w:rsidRPr="004E6975">
        <w:rPr>
          <w:rFonts w:ascii="Arial" w:eastAsia="Times New Roman" w:hAnsi="Arial" w:cs="Arial"/>
          <w:lang w:eastAsia="it-IT"/>
        </w:rPr>
        <w:t xml:space="preserve"> dalle convenzioni per eludere l'applicazione della disciplina dell'equo compenso e dalla circostanza che attualmente risultano escluse dal novero dei clienti forti soggetti, come ad esempio le piccole imprese, che nel contesto </w:t>
      </w:r>
      <w:r w:rsidRPr="004E6975">
        <w:rPr>
          <w:rFonts w:ascii="Arial" w:eastAsia="Times New Roman" w:hAnsi="Arial" w:cs="Arial"/>
          <w:lang w:eastAsia="it-IT"/>
        </w:rPr>
        <w:lastRenderedPageBreak/>
        <w:t xml:space="preserve">nazionale devono considerarsi tali rispetto al professionista”. Luchetta sottolinea poi come vada superata </w:t>
      </w:r>
      <w:r w:rsidRPr="004E6975">
        <w:rPr>
          <w:rFonts w:ascii="Arial" w:eastAsia="Times New Roman" w:hAnsi="Arial" w:cs="Arial"/>
          <w:lang w:eastAsia="ar-SA"/>
        </w:rPr>
        <w:t>“</w:t>
      </w:r>
      <w:r w:rsidRPr="004E6975">
        <w:rPr>
          <w:rFonts w:ascii="Arial" w:eastAsia="Times New Roman" w:hAnsi="Arial" w:cs="Arial"/>
          <w:lang w:eastAsia="it-IT"/>
        </w:rPr>
        <w:t xml:space="preserve">la </w:t>
      </w:r>
      <w:r w:rsidRPr="004E6975">
        <w:rPr>
          <w:rFonts w:ascii="Arial" w:eastAsia="Times New Roman" w:hAnsi="Arial" w:cs="Arial"/>
          <w:b/>
          <w:bCs/>
          <w:lang w:eastAsia="it-IT"/>
        </w:rPr>
        <w:t>riluttanza</w:t>
      </w:r>
      <w:r w:rsidRPr="004E6975">
        <w:rPr>
          <w:rFonts w:ascii="Arial" w:eastAsia="Times New Roman" w:hAnsi="Arial" w:cs="Arial"/>
          <w:lang w:eastAsia="it-IT"/>
        </w:rPr>
        <w:t xml:space="preserve"> della pubblica amministrazione nel riconoscere il diritto dei professionisti all'equo compenso”. </w:t>
      </w:r>
      <w:r w:rsidRPr="004E6975">
        <w:rPr>
          <w:rFonts w:ascii="Arial" w:eastAsia="Times New Roman" w:hAnsi="Arial" w:cs="Arial"/>
          <w:lang w:eastAsia="ar-SA"/>
        </w:rPr>
        <w:t xml:space="preserve">“Il nostro auspicio – conclude Luchetta </w:t>
      </w:r>
      <w:r w:rsidR="00CA586E" w:rsidRPr="004E6975">
        <w:rPr>
          <w:rFonts w:ascii="Arial" w:eastAsia="Times New Roman" w:hAnsi="Arial" w:cs="Arial"/>
          <w:lang w:eastAsia="ar-SA"/>
        </w:rPr>
        <w:t>–</w:t>
      </w:r>
      <w:r w:rsidRPr="004E6975">
        <w:rPr>
          <w:rFonts w:ascii="Arial" w:eastAsia="Times New Roman" w:hAnsi="Arial" w:cs="Arial"/>
          <w:lang w:eastAsia="ar-SA"/>
        </w:rPr>
        <w:t xml:space="preserve"> è che il Legislatore, in occasione dei lavori della Commissione giustizia della Camera, dia finalmente </w:t>
      </w:r>
      <w:r w:rsidRPr="004E6975">
        <w:rPr>
          <w:rFonts w:ascii="Arial" w:eastAsia="Times New Roman" w:hAnsi="Arial" w:cs="Arial"/>
          <w:b/>
          <w:bCs/>
          <w:lang w:eastAsia="ar-SA"/>
        </w:rPr>
        <w:t>concreta attuazione</w:t>
      </w:r>
      <w:r w:rsidRPr="004E6975">
        <w:rPr>
          <w:rFonts w:ascii="Arial" w:eastAsia="Times New Roman" w:hAnsi="Arial" w:cs="Arial"/>
          <w:lang w:eastAsia="ar-SA"/>
        </w:rPr>
        <w:t xml:space="preserve"> ai principi costituzionali e codicistici in materia di tutela del lavoro estendendo la disciplina di tutela dell’equo compenso a ogni tipo di accordo intercorrente tra professionista e cliente”. </w:t>
      </w:r>
    </w:p>
    <w:p w14:paraId="003BE8F8" w14:textId="77777777" w:rsidR="001305CF" w:rsidRPr="001305CF" w:rsidRDefault="001305CF" w:rsidP="001305CF">
      <w:pPr>
        <w:widowControl w:val="0"/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highlight w:val="yellow"/>
          <w:lang w:eastAsia="ar-SA"/>
        </w:rPr>
      </w:pPr>
    </w:p>
    <w:p w14:paraId="1565298B" w14:textId="77777777" w:rsidR="001305CF" w:rsidRPr="001305CF" w:rsidRDefault="001305CF" w:rsidP="001305CF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64F77CDB" w14:textId="77777777" w:rsidR="001305CF" w:rsidRPr="001305CF" w:rsidRDefault="001305CF" w:rsidP="001305CF">
      <w:pPr>
        <w:suppressAutoHyphens/>
        <w:spacing w:after="0" w:line="240" w:lineRule="auto"/>
        <w:ind w:right="281"/>
        <w:jc w:val="both"/>
        <w:rPr>
          <w:rFonts w:ascii="Arial" w:eastAsia="Times New Roman" w:hAnsi="Arial" w:cs="Arial"/>
          <w:lang w:eastAsia="ar-SA"/>
        </w:rPr>
      </w:pPr>
    </w:p>
    <w:p w14:paraId="057DD115" w14:textId="77777777" w:rsidR="001305CF" w:rsidRPr="001305CF" w:rsidRDefault="001305CF" w:rsidP="001305CF">
      <w:pPr>
        <w:suppressAutoHyphens/>
        <w:spacing w:after="0" w:line="240" w:lineRule="auto"/>
        <w:ind w:right="281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6925674" w14:textId="76F063C6" w:rsidR="00F362C1" w:rsidRPr="008219D6" w:rsidRDefault="00F362C1" w:rsidP="001305CF">
      <w:pPr>
        <w:jc w:val="center"/>
        <w:rPr>
          <w:rFonts w:ascii="Arial" w:hAnsi="Arial" w:cs="Arial"/>
          <w:color w:val="4472C4" w:themeColor="accent1"/>
        </w:rPr>
      </w:pPr>
    </w:p>
    <w:sectPr w:rsidR="00F362C1" w:rsidRPr="008219D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5D13" w14:textId="77777777" w:rsidR="00756C8C" w:rsidRDefault="00756C8C" w:rsidP="00C244F9">
      <w:pPr>
        <w:spacing w:after="0" w:line="240" w:lineRule="auto"/>
      </w:pPr>
      <w:r>
        <w:separator/>
      </w:r>
    </w:p>
  </w:endnote>
  <w:endnote w:type="continuationSeparator" w:id="0">
    <w:p w14:paraId="072CA09C" w14:textId="77777777" w:rsidR="00756C8C" w:rsidRDefault="00756C8C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14FA" w14:textId="77777777" w:rsidR="00756C8C" w:rsidRDefault="00756C8C" w:rsidP="00C244F9">
      <w:pPr>
        <w:spacing w:after="0" w:line="240" w:lineRule="auto"/>
      </w:pPr>
      <w:r>
        <w:separator/>
      </w:r>
    </w:p>
  </w:footnote>
  <w:footnote w:type="continuationSeparator" w:id="0">
    <w:p w14:paraId="1E0E464C" w14:textId="77777777" w:rsidR="00756C8C" w:rsidRDefault="00756C8C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59AA8ED8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D60C6"/>
    <w:rsid w:val="001305CF"/>
    <w:rsid w:val="00137250"/>
    <w:rsid w:val="00144BD8"/>
    <w:rsid w:val="00225742"/>
    <w:rsid w:val="0022739C"/>
    <w:rsid w:val="002B78A5"/>
    <w:rsid w:val="002C41B2"/>
    <w:rsid w:val="0031138F"/>
    <w:rsid w:val="003773A3"/>
    <w:rsid w:val="003935EA"/>
    <w:rsid w:val="003C2E00"/>
    <w:rsid w:val="00410906"/>
    <w:rsid w:val="004E6975"/>
    <w:rsid w:val="00542E37"/>
    <w:rsid w:val="00605191"/>
    <w:rsid w:val="00656D74"/>
    <w:rsid w:val="00756C8C"/>
    <w:rsid w:val="007A760F"/>
    <w:rsid w:val="0081049B"/>
    <w:rsid w:val="00813B39"/>
    <w:rsid w:val="008219D6"/>
    <w:rsid w:val="008C37D4"/>
    <w:rsid w:val="008C51CB"/>
    <w:rsid w:val="009C53C6"/>
    <w:rsid w:val="009F4D75"/>
    <w:rsid w:val="00A604B1"/>
    <w:rsid w:val="00A866E4"/>
    <w:rsid w:val="00B46E7F"/>
    <w:rsid w:val="00B73BD6"/>
    <w:rsid w:val="00BA1CC2"/>
    <w:rsid w:val="00BB3D1D"/>
    <w:rsid w:val="00C244F9"/>
    <w:rsid w:val="00CA586E"/>
    <w:rsid w:val="00CA5E3D"/>
    <w:rsid w:val="00D06F3A"/>
    <w:rsid w:val="00DC3D58"/>
    <w:rsid w:val="00DD1BB9"/>
    <w:rsid w:val="00DF6872"/>
    <w:rsid w:val="00E50272"/>
    <w:rsid w:val="00E507D0"/>
    <w:rsid w:val="00EC2930"/>
    <w:rsid w:val="00ED06B5"/>
    <w:rsid w:val="00F04783"/>
    <w:rsid w:val="00F3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2021-04-21T10:42:00Z</dcterms:created>
  <dcterms:modified xsi:type="dcterms:W3CDTF">2021-04-21T18:58:00Z</dcterms:modified>
</cp:coreProperties>
</file>