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E7B1" w14:textId="70CB343C" w:rsidR="0081049B" w:rsidRPr="002A2DF7" w:rsidRDefault="0081049B" w:rsidP="002A2DF7">
      <w:pPr>
        <w:spacing w:after="0" w:line="240" w:lineRule="auto"/>
        <w:jc w:val="center"/>
        <w:rPr>
          <w:rFonts w:ascii="Arial" w:eastAsia="Times New Roman" w:hAnsi="Arial" w:cs="Arial"/>
          <w:b/>
          <w:bCs/>
          <w:sz w:val="24"/>
          <w:szCs w:val="24"/>
          <w:u w:val="single"/>
          <w:lang w:eastAsia="it-IT"/>
        </w:rPr>
      </w:pPr>
      <w:r w:rsidRPr="002A2DF7">
        <w:rPr>
          <w:rFonts w:ascii="Arial" w:eastAsia="Times New Roman" w:hAnsi="Arial" w:cs="Arial"/>
          <w:b/>
          <w:bCs/>
          <w:sz w:val="24"/>
          <w:szCs w:val="24"/>
          <w:u w:val="single"/>
          <w:lang w:eastAsia="it-IT"/>
        </w:rPr>
        <w:t>COMUNICATO STAMPA</w:t>
      </w:r>
    </w:p>
    <w:p w14:paraId="3E9FE2C0" w14:textId="77777777" w:rsidR="002A2DF7" w:rsidRPr="002A2DF7" w:rsidRDefault="002A2DF7" w:rsidP="002A2DF7">
      <w:pPr>
        <w:spacing w:after="0" w:line="240" w:lineRule="auto"/>
        <w:jc w:val="center"/>
        <w:rPr>
          <w:rFonts w:ascii="Arial" w:eastAsia="Times New Roman" w:hAnsi="Arial" w:cs="Arial"/>
          <w:b/>
          <w:bCs/>
          <w:sz w:val="24"/>
          <w:szCs w:val="24"/>
          <w:lang w:eastAsia="it-IT"/>
        </w:rPr>
      </w:pPr>
    </w:p>
    <w:p w14:paraId="67406CFE" w14:textId="16CAAA75" w:rsidR="001305CF" w:rsidRDefault="001305CF" w:rsidP="002A2DF7">
      <w:pPr>
        <w:shd w:val="clear" w:color="auto" w:fill="FFFFFF"/>
        <w:spacing w:after="0" w:line="240" w:lineRule="auto"/>
        <w:jc w:val="center"/>
        <w:rPr>
          <w:rFonts w:ascii="Arial" w:eastAsia="Times New Roman" w:hAnsi="Arial" w:cs="Arial"/>
          <w:b/>
          <w:bCs/>
          <w:color w:val="000000"/>
          <w:sz w:val="24"/>
          <w:szCs w:val="24"/>
          <w:bdr w:val="none" w:sz="0" w:space="0" w:color="auto" w:frame="1"/>
          <w:lang w:eastAsia="it-IT"/>
        </w:rPr>
      </w:pPr>
      <w:r w:rsidRPr="002A2DF7">
        <w:rPr>
          <w:rFonts w:ascii="Arial" w:eastAsia="Times New Roman" w:hAnsi="Arial" w:cs="Arial"/>
          <w:b/>
          <w:bCs/>
          <w:color w:val="000000"/>
          <w:sz w:val="24"/>
          <w:szCs w:val="24"/>
          <w:bdr w:val="none" w:sz="0" w:space="0" w:color="auto" w:frame="1"/>
          <w:lang w:eastAsia="it-IT"/>
        </w:rPr>
        <w:t>FONDI COVID AI COMUNI: LA META’ (2.546 MILIONI DI EURO) VA AL NORD</w:t>
      </w:r>
    </w:p>
    <w:p w14:paraId="77FA01A6" w14:textId="77777777" w:rsidR="002A2DF7" w:rsidRPr="002A2DF7" w:rsidRDefault="002A2DF7" w:rsidP="002A2DF7">
      <w:pPr>
        <w:shd w:val="clear" w:color="auto" w:fill="FFFFFF"/>
        <w:spacing w:after="0" w:line="240" w:lineRule="auto"/>
        <w:jc w:val="center"/>
        <w:rPr>
          <w:rFonts w:ascii="Arial" w:eastAsia="Times New Roman" w:hAnsi="Arial" w:cs="Arial"/>
          <w:b/>
          <w:bCs/>
          <w:color w:val="000000"/>
          <w:sz w:val="24"/>
          <w:szCs w:val="24"/>
          <w:bdr w:val="none" w:sz="0" w:space="0" w:color="auto" w:frame="1"/>
          <w:lang w:eastAsia="it-IT"/>
        </w:rPr>
      </w:pPr>
    </w:p>
    <w:p w14:paraId="2FB2B66C" w14:textId="760D0AF9" w:rsidR="00034701" w:rsidRPr="002A2DF7" w:rsidRDefault="00034701" w:rsidP="002A2DF7">
      <w:pPr>
        <w:shd w:val="clear" w:color="auto" w:fill="FFFFFF"/>
        <w:spacing w:after="0" w:line="240" w:lineRule="auto"/>
        <w:jc w:val="center"/>
        <w:rPr>
          <w:rFonts w:ascii="Arial" w:eastAsia="Times New Roman" w:hAnsi="Arial" w:cs="Arial"/>
          <w:b/>
          <w:bCs/>
          <w:color w:val="000000"/>
          <w:sz w:val="24"/>
          <w:szCs w:val="24"/>
          <w:bdr w:val="none" w:sz="0" w:space="0" w:color="auto" w:frame="1"/>
          <w:lang w:eastAsia="it-IT"/>
        </w:rPr>
      </w:pPr>
      <w:r w:rsidRPr="002A2DF7">
        <w:rPr>
          <w:rFonts w:ascii="Arial" w:eastAsia="Times New Roman" w:hAnsi="Arial" w:cs="Arial"/>
          <w:b/>
          <w:bCs/>
          <w:color w:val="000000"/>
          <w:sz w:val="24"/>
          <w:szCs w:val="24"/>
          <w:bdr w:val="none" w:sz="0" w:space="0" w:color="auto" w:frame="1"/>
          <w:lang w:eastAsia="it-IT"/>
        </w:rPr>
        <w:t>Lo studio del Consiglio e della Fondazione Nazionali dei Commercialisti analizza a livello geografico la ripartizione del fondo per l’esercizio delle funzioni fondamentali e la cosiddetta solidarietà alimentare</w:t>
      </w:r>
      <w:r w:rsidRPr="002A2DF7">
        <w:rPr>
          <w:rFonts w:ascii="Arial" w:eastAsia="Times New Roman" w:hAnsi="Arial" w:cs="Arial"/>
          <w:b/>
          <w:bCs/>
          <w:color w:val="000000"/>
          <w:sz w:val="24"/>
          <w:szCs w:val="24"/>
          <w:bdr w:val="none" w:sz="0" w:space="0" w:color="auto" w:frame="1"/>
          <w:lang w:eastAsia="it-IT"/>
        </w:rPr>
        <w:t>.</w:t>
      </w:r>
    </w:p>
    <w:p w14:paraId="2DA22A16" w14:textId="7B89AFEB" w:rsidR="001305CF" w:rsidRPr="002A2DF7" w:rsidRDefault="001305CF" w:rsidP="002A2DF7">
      <w:pPr>
        <w:shd w:val="clear" w:color="auto" w:fill="FFFFFF"/>
        <w:spacing w:after="0" w:line="240" w:lineRule="auto"/>
        <w:jc w:val="center"/>
        <w:rPr>
          <w:rFonts w:ascii="Arial" w:eastAsia="Times New Roman" w:hAnsi="Arial" w:cs="Arial"/>
          <w:color w:val="000000"/>
          <w:sz w:val="24"/>
          <w:szCs w:val="24"/>
          <w:lang w:eastAsia="it-IT"/>
        </w:rPr>
      </w:pPr>
      <w:r w:rsidRPr="002A2DF7">
        <w:rPr>
          <w:rFonts w:ascii="Arial" w:eastAsia="Times New Roman" w:hAnsi="Arial" w:cs="Arial"/>
          <w:b/>
          <w:bCs/>
          <w:color w:val="000000"/>
          <w:sz w:val="24"/>
          <w:szCs w:val="24"/>
          <w:bdr w:val="none" w:sz="0" w:space="0" w:color="auto" w:frame="1"/>
          <w:lang w:eastAsia="it-IT"/>
        </w:rPr>
        <w:t>Al Centro e al Sud sono stati erogati aiuti pari rispettivamente al 20,8% (1.042 milioni di euro) e al 28,5% (1.431 milioni di euro) del totale</w:t>
      </w:r>
    </w:p>
    <w:p w14:paraId="4135515A" w14:textId="1F5B6BB9" w:rsidR="001305CF" w:rsidRPr="002A2DF7" w:rsidRDefault="001305CF" w:rsidP="002A2DF7">
      <w:pPr>
        <w:shd w:val="clear" w:color="auto" w:fill="FFFFFF"/>
        <w:spacing w:after="0" w:line="240" w:lineRule="auto"/>
        <w:jc w:val="center"/>
        <w:rPr>
          <w:rFonts w:ascii="Arial" w:eastAsia="Times New Roman" w:hAnsi="Arial" w:cs="Arial"/>
          <w:color w:val="000000"/>
          <w:sz w:val="24"/>
          <w:szCs w:val="24"/>
          <w:lang w:eastAsia="it-IT"/>
        </w:rPr>
      </w:pPr>
    </w:p>
    <w:p w14:paraId="0877ADEF" w14:textId="48F393B5"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r w:rsidRPr="002A2DF7">
        <w:rPr>
          <w:rFonts w:ascii="Arial" w:eastAsia="Times New Roman" w:hAnsi="Arial" w:cs="Arial"/>
          <w:i/>
          <w:iCs/>
          <w:color w:val="000000"/>
          <w:sz w:val="23"/>
          <w:szCs w:val="23"/>
          <w:bdr w:val="none" w:sz="0" w:space="0" w:color="auto" w:frame="1"/>
          <w:lang w:eastAsia="it-IT"/>
        </w:rPr>
        <w:t>Roma 21 aprile 2021</w:t>
      </w:r>
      <w:r w:rsidRPr="002A2DF7">
        <w:rPr>
          <w:rFonts w:ascii="Arial" w:eastAsia="Times New Roman" w:hAnsi="Arial" w:cs="Arial"/>
          <w:i/>
          <w:iCs/>
          <w:color w:val="000000"/>
          <w:sz w:val="23"/>
          <w:szCs w:val="23"/>
          <w:lang w:eastAsia="it-IT"/>
        </w:rPr>
        <w:t xml:space="preserve"> -</w:t>
      </w:r>
      <w:r w:rsidRPr="002A2DF7">
        <w:rPr>
          <w:rFonts w:ascii="Arial" w:eastAsia="Times New Roman" w:hAnsi="Arial" w:cs="Arial"/>
          <w:color w:val="000000"/>
          <w:sz w:val="23"/>
          <w:szCs w:val="23"/>
          <w:lang w:eastAsia="it-IT"/>
        </w:rPr>
        <w:t xml:space="preserve"> </w:t>
      </w:r>
      <w:r w:rsidRPr="002A2DF7">
        <w:rPr>
          <w:rFonts w:ascii="Arial" w:eastAsia="Times New Roman" w:hAnsi="Arial" w:cs="Arial"/>
          <w:color w:val="000000"/>
          <w:sz w:val="23"/>
          <w:szCs w:val="23"/>
          <w:bdr w:val="none" w:sz="0" w:space="0" w:color="auto" w:frame="1"/>
          <w:lang w:eastAsia="it-IT"/>
        </w:rPr>
        <w:t xml:space="preserve">Un’Italia divisa, con il Nord ad aggiudicarsi gli aiuti più consistenti pari </w:t>
      </w:r>
      <w:r w:rsidR="00962C36" w:rsidRPr="002A2DF7">
        <w:rPr>
          <w:rFonts w:ascii="Arial" w:eastAsia="Times New Roman" w:hAnsi="Arial" w:cs="Arial"/>
          <w:color w:val="000000"/>
          <w:sz w:val="23"/>
          <w:szCs w:val="23"/>
          <w:bdr w:val="none" w:sz="0" w:space="0" w:color="auto" w:frame="1"/>
          <w:lang w:eastAsia="it-IT"/>
        </w:rPr>
        <w:t>alla metà</w:t>
      </w:r>
      <w:r w:rsidRPr="002A2DF7">
        <w:rPr>
          <w:rFonts w:ascii="Arial" w:eastAsia="Times New Roman" w:hAnsi="Arial" w:cs="Arial"/>
          <w:color w:val="000000"/>
          <w:sz w:val="23"/>
          <w:szCs w:val="23"/>
          <w:bdr w:val="none" w:sz="0" w:space="0" w:color="auto" w:frame="1"/>
          <w:lang w:eastAsia="it-IT"/>
        </w:rPr>
        <w:t xml:space="preserve"> </w:t>
      </w:r>
      <w:r w:rsidR="00962C36" w:rsidRPr="002A2DF7">
        <w:rPr>
          <w:rFonts w:ascii="Arial" w:eastAsia="Times New Roman" w:hAnsi="Arial" w:cs="Arial"/>
          <w:color w:val="000000"/>
          <w:sz w:val="23"/>
          <w:szCs w:val="23"/>
          <w:bdr w:val="none" w:sz="0" w:space="0" w:color="auto" w:frame="1"/>
          <w:lang w:eastAsia="it-IT"/>
        </w:rPr>
        <w:t xml:space="preserve">(il </w:t>
      </w:r>
      <w:r w:rsidR="00962C36" w:rsidRPr="002A2DF7">
        <w:rPr>
          <w:rFonts w:ascii="Arial" w:eastAsia="Times New Roman" w:hAnsi="Arial" w:cs="Arial"/>
          <w:b/>
          <w:bCs/>
          <w:color w:val="000000"/>
          <w:sz w:val="23"/>
          <w:szCs w:val="23"/>
          <w:bdr w:val="none" w:sz="0" w:space="0" w:color="auto" w:frame="1"/>
          <w:lang w:eastAsia="it-IT"/>
        </w:rPr>
        <w:t>50,7%</w:t>
      </w:r>
      <w:r w:rsidR="00962C36" w:rsidRPr="002A2DF7">
        <w:rPr>
          <w:rFonts w:ascii="Arial" w:eastAsia="Times New Roman" w:hAnsi="Arial" w:cs="Arial"/>
          <w:color w:val="000000"/>
          <w:sz w:val="23"/>
          <w:szCs w:val="23"/>
          <w:bdr w:val="none" w:sz="0" w:space="0" w:color="auto" w:frame="1"/>
          <w:lang w:eastAsia="it-IT"/>
        </w:rPr>
        <w:t xml:space="preserve">) </w:t>
      </w:r>
      <w:r w:rsidRPr="002A2DF7">
        <w:rPr>
          <w:rFonts w:ascii="Arial" w:eastAsia="Times New Roman" w:hAnsi="Arial" w:cs="Arial"/>
          <w:color w:val="000000"/>
          <w:sz w:val="23"/>
          <w:szCs w:val="23"/>
          <w:bdr w:val="none" w:sz="0" w:space="0" w:color="auto" w:frame="1"/>
          <w:lang w:eastAsia="it-IT"/>
        </w:rPr>
        <w:t xml:space="preserve">del totale: </w:t>
      </w:r>
      <w:r w:rsidRPr="002A2DF7">
        <w:rPr>
          <w:rFonts w:ascii="Arial" w:eastAsia="Times New Roman" w:hAnsi="Arial" w:cs="Arial"/>
          <w:b/>
          <w:bCs/>
          <w:color w:val="000000"/>
          <w:sz w:val="23"/>
          <w:szCs w:val="23"/>
          <w:bdr w:val="none" w:sz="0" w:space="0" w:color="auto" w:frame="1"/>
          <w:lang w:eastAsia="it-IT"/>
        </w:rPr>
        <w:t>2.546 milioni di euro</w:t>
      </w:r>
      <w:r w:rsidRPr="002A2DF7">
        <w:rPr>
          <w:rFonts w:ascii="Arial" w:eastAsia="Times New Roman" w:hAnsi="Arial" w:cs="Arial"/>
          <w:color w:val="000000"/>
          <w:sz w:val="23"/>
          <w:szCs w:val="23"/>
          <w:bdr w:val="none" w:sz="0" w:space="0" w:color="auto" w:frame="1"/>
          <w:lang w:eastAsia="it-IT"/>
        </w:rPr>
        <w:t xml:space="preserve">. È la fotografia scattata dallo studio elaborato dal Consiglio e dalla Fondazione Nazionale dei Commercialisti che analizza la ripartizione dei </w:t>
      </w:r>
      <w:r w:rsidRPr="002A2DF7">
        <w:rPr>
          <w:rFonts w:ascii="Arial" w:eastAsia="Times New Roman" w:hAnsi="Arial" w:cs="Arial"/>
          <w:b/>
          <w:bCs/>
          <w:color w:val="000000"/>
          <w:sz w:val="23"/>
          <w:szCs w:val="23"/>
          <w:bdr w:val="none" w:sz="0" w:space="0" w:color="auto" w:frame="1"/>
          <w:lang w:eastAsia="it-IT"/>
        </w:rPr>
        <w:t>fondi destinati ai comuni</w:t>
      </w:r>
      <w:r w:rsidRPr="002A2DF7">
        <w:rPr>
          <w:rFonts w:ascii="Arial" w:eastAsia="Times New Roman" w:hAnsi="Arial" w:cs="Arial"/>
          <w:color w:val="000000"/>
          <w:sz w:val="23"/>
          <w:szCs w:val="23"/>
          <w:bdr w:val="none" w:sz="0" w:space="0" w:color="auto" w:frame="1"/>
          <w:lang w:eastAsia="it-IT"/>
        </w:rPr>
        <w:t xml:space="preserve"> alle prese con la crisi economica derivante dall’emergenza pandemica da Covid-19. Nel dettaglio, l’anno scorso sono stati erogati </w:t>
      </w:r>
      <w:r w:rsidRPr="002A2DF7">
        <w:rPr>
          <w:rFonts w:ascii="Arial" w:eastAsia="Times New Roman" w:hAnsi="Arial" w:cs="Arial"/>
          <w:b/>
          <w:bCs/>
          <w:color w:val="000000"/>
          <w:sz w:val="23"/>
          <w:szCs w:val="23"/>
          <w:bdr w:val="none" w:sz="0" w:space="0" w:color="auto" w:frame="1"/>
          <w:lang w:eastAsia="it-IT"/>
        </w:rPr>
        <w:t>5.020 milioni di euro</w:t>
      </w:r>
      <w:r w:rsidRPr="002A2DF7">
        <w:rPr>
          <w:rFonts w:ascii="Arial" w:eastAsia="Times New Roman" w:hAnsi="Arial" w:cs="Arial"/>
          <w:color w:val="000000"/>
          <w:sz w:val="23"/>
          <w:szCs w:val="23"/>
          <w:bdr w:val="none" w:sz="0" w:space="0" w:color="auto" w:frame="1"/>
          <w:lang w:eastAsia="it-IT"/>
        </w:rPr>
        <w:t xml:space="preserve"> suddivisi tra il </w:t>
      </w:r>
      <w:r w:rsidRPr="002A2DF7">
        <w:rPr>
          <w:rFonts w:ascii="Arial" w:eastAsia="Times New Roman" w:hAnsi="Arial" w:cs="Arial"/>
          <w:b/>
          <w:bCs/>
          <w:color w:val="000000"/>
          <w:sz w:val="23"/>
          <w:szCs w:val="23"/>
          <w:bdr w:val="none" w:sz="0" w:space="0" w:color="auto" w:frame="1"/>
          <w:lang w:eastAsia="it-IT"/>
        </w:rPr>
        <w:t>Fondo per l’esercizio delle funzioni fondamentali</w:t>
      </w:r>
      <w:r w:rsidRPr="002A2DF7">
        <w:rPr>
          <w:rFonts w:ascii="Arial" w:eastAsia="Times New Roman" w:hAnsi="Arial" w:cs="Arial"/>
          <w:color w:val="000000"/>
          <w:sz w:val="23"/>
          <w:szCs w:val="23"/>
          <w:bdr w:val="none" w:sz="0" w:space="0" w:color="auto" w:frame="1"/>
          <w:lang w:eastAsia="it-IT"/>
        </w:rPr>
        <w:t xml:space="preserve"> e la cosiddetta </w:t>
      </w:r>
      <w:r w:rsidRPr="002A2DF7">
        <w:rPr>
          <w:rFonts w:ascii="Arial" w:eastAsia="Times New Roman" w:hAnsi="Arial" w:cs="Arial"/>
          <w:b/>
          <w:bCs/>
          <w:color w:val="000000"/>
          <w:sz w:val="23"/>
          <w:szCs w:val="23"/>
          <w:bdr w:val="none" w:sz="0" w:space="0" w:color="auto" w:frame="1"/>
          <w:lang w:eastAsia="it-IT"/>
        </w:rPr>
        <w:t>solidarietà alimentare</w:t>
      </w:r>
      <w:r w:rsidRPr="002A2DF7">
        <w:rPr>
          <w:rFonts w:ascii="Arial" w:eastAsia="Times New Roman" w:hAnsi="Arial" w:cs="Arial"/>
          <w:color w:val="000000"/>
          <w:sz w:val="23"/>
          <w:szCs w:val="23"/>
          <w:bdr w:val="none" w:sz="0" w:space="0" w:color="auto" w:frame="1"/>
          <w:lang w:eastAsia="it-IT"/>
        </w:rPr>
        <w:t>, al netto delle compensazioni specifiche per il mancato gettito determinato da esenzioni tributarie decise a livello nazionale. Il primo intervento, (</w:t>
      </w:r>
      <w:r w:rsidRPr="002A2DF7">
        <w:rPr>
          <w:rFonts w:ascii="Arial" w:eastAsia="Times New Roman" w:hAnsi="Arial" w:cs="Arial"/>
          <w:b/>
          <w:bCs/>
          <w:color w:val="000000"/>
          <w:sz w:val="23"/>
          <w:szCs w:val="23"/>
          <w:bdr w:val="none" w:sz="0" w:space="0" w:color="auto" w:frame="1"/>
          <w:lang w:eastAsia="it-IT"/>
        </w:rPr>
        <w:t>4.220 milioni di euro</w:t>
      </w:r>
      <w:r w:rsidRPr="002A2DF7">
        <w:rPr>
          <w:rFonts w:ascii="Arial" w:eastAsia="Times New Roman" w:hAnsi="Arial" w:cs="Arial"/>
          <w:color w:val="000000"/>
          <w:sz w:val="23"/>
          <w:szCs w:val="23"/>
          <w:bdr w:val="none" w:sz="0" w:space="0" w:color="auto" w:frame="1"/>
          <w:lang w:eastAsia="it-IT"/>
        </w:rPr>
        <w:t xml:space="preserve">) che copre </w:t>
      </w:r>
      <w:r w:rsidRPr="002A2DF7">
        <w:rPr>
          <w:rFonts w:ascii="Arial" w:eastAsia="Times New Roman" w:hAnsi="Arial" w:cs="Arial"/>
          <w:b/>
          <w:bCs/>
          <w:color w:val="000000"/>
          <w:sz w:val="23"/>
          <w:szCs w:val="23"/>
          <w:bdr w:val="none" w:sz="0" w:space="0" w:color="auto" w:frame="1"/>
          <w:lang w:eastAsia="it-IT"/>
        </w:rPr>
        <w:t>l’85% delle erogazioni</w:t>
      </w:r>
      <w:r w:rsidRPr="002A2DF7">
        <w:rPr>
          <w:rFonts w:ascii="Arial" w:eastAsia="Times New Roman" w:hAnsi="Arial" w:cs="Arial"/>
          <w:color w:val="000000"/>
          <w:sz w:val="23"/>
          <w:szCs w:val="23"/>
          <w:bdr w:val="none" w:sz="0" w:space="0" w:color="auto" w:frame="1"/>
          <w:lang w:eastAsia="it-IT"/>
        </w:rPr>
        <w:t xml:space="preserve">, si concentra nelle regioni del </w:t>
      </w:r>
      <w:r w:rsidRPr="002A2DF7">
        <w:rPr>
          <w:rFonts w:ascii="Arial" w:eastAsia="Times New Roman" w:hAnsi="Arial" w:cs="Arial"/>
          <w:b/>
          <w:bCs/>
          <w:color w:val="000000"/>
          <w:sz w:val="23"/>
          <w:szCs w:val="23"/>
          <w:bdr w:val="none" w:sz="0" w:space="0" w:color="auto" w:frame="1"/>
          <w:lang w:eastAsia="it-IT"/>
        </w:rPr>
        <w:t>Nord Italia</w:t>
      </w:r>
      <w:r w:rsidRPr="002A2DF7">
        <w:rPr>
          <w:rFonts w:ascii="Arial" w:eastAsia="Times New Roman" w:hAnsi="Arial" w:cs="Arial"/>
          <w:color w:val="000000"/>
          <w:sz w:val="23"/>
          <w:szCs w:val="23"/>
          <w:bdr w:val="none" w:sz="0" w:space="0" w:color="auto" w:frame="1"/>
          <w:lang w:eastAsia="it-IT"/>
        </w:rPr>
        <w:t xml:space="preserve"> e nel </w:t>
      </w:r>
      <w:r w:rsidRPr="002A2DF7">
        <w:rPr>
          <w:rFonts w:ascii="Arial" w:eastAsia="Times New Roman" w:hAnsi="Arial" w:cs="Arial"/>
          <w:b/>
          <w:bCs/>
          <w:color w:val="000000"/>
          <w:sz w:val="23"/>
          <w:szCs w:val="23"/>
          <w:bdr w:val="none" w:sz="0" w:space="0" w:color="auto" w:frame="1"/>
          <w:lang w:eastAsia="it-IT"/>
        </w:rPr>
        <w:t>Lazio</w:t>
      </w:r>
      <w:r w:rsidRPr="002A2DF7">
        <w:rPr>
          <w:rFonts w:ascii="Arial" w:eastAsia="Times New Roman" w:hAnsi="Arial" w:cs="Arial"/>
          <w:color w:val="000000"/>
          <w:sz w:val="23"/>
          <w:szCs w:val="23"/>
          <w:bdr w:val="none" w:sz="0" w:space="0" w:color="auto" w:frame="1"/>
          <w:lang w:eastAsia="it-IT"/>
        </w:rPr>
        <w:t xml:space="preserve"> per effetto dei parametri ancorati alla </w:t>
      </w:r>
      <w:r w:rsidRPr="002A2DF7">
        <w:rPr>
          <w:rFonts w:ascii="Arial" w:eastAsia="Times New Roman" w:hAnsi="Arial" w:cs="Arial"/>
          <w:b/>
          <w:bCs/>
          <w:color w:val="000000"/>
          <w:sz w:val="23"/>
          <w:szCs w:val="23"/>
          <w:bdr w:val="none" w:sz="0" w:space="0" w:color="auto" w:frame="1"/>
          <w:lang w:eastAsia="it-IT"/>
        </w:rPr>
        <w:t>capacità fiscale</w:t>
      </w:r>
      <w:r w:rsidRPr="002A2DF7">
        <w:rPr>
          <w:rFonts w:ascii="Arial" w:eastAsia="Times New Roman" w:hAnsi="Arial" w:cs="Arial"/>
          <w:color w:val="000000"/>
          <w:sz w:val="23"/>
          <w:szCs w:val="23"/>
          <w:bdr w:val="none" w:sz="0" w:space="0" w:color="auto" w:frame="1"/>
          <w:lang w:eastAsia="it-IT"/>
        </w:rPr>
        <w:t xml:space="preserve"> registrata nei singoli comuni, fornendo di fatto un </w:t>
      </w:r>
      <w:r w:rsidRPr="002A2DF7">
        <w:rPr>
          <w:rFonts w:ascii="Arial" w:eastAsia="Times New Roman" w:hAnsi="Arial" w:cs="Arial"/>
          <w:b/>
          <w:bCs/>
          <w:color w:val="000000"/>
          <w:sz w:val="23"/>
          <w:szCs w:val="23"/>
          <w:bdr w:val="none" w:sz="0" w:space="0" w:color="auto" w:frame="1"/>
          <w:lang w:eastAsia="it-IT"/>
        </w:rPr>
        <w:t>aiuto maggiore</w:t>
      </w:r>
      <w:r w:rsidRPr="002A2DF7">
        <w:rPr>
          <w:rFonts w:ascii="Arial" w:eastAsia="Times New Roman" w:hAnsi="Arial" w:cs="Arial"/>
          <w:color w:val="000000"/>
          <w:sz w:val="23"/>
          <w:szCs w:val="23"/>
          <w:bdr w:val="none" w:sz="0" w:space="0" w:color="auto" w:frame="1"/>
          <w:lang w:eastAsia="it-IT"/>
        </w:rPr>
        <w:t xml:space="preserve"> nei territori in cui il reddito medio pro</w:t>
      </w:r>
      <w:r w:rsidR="006F49E8" w:rsidRPr="002A2DF7">
        <w:rPr>
          <w:rFonts w:ascii="Arial" w:eastAsia="Times New Roman" w:hAnsi="Arial" w:cs="Arial"/>
          <w:color w:val="000000"/>
          <w:sz w:val="23"/>
          <w:szCs w:val="23"/>
          <w:bdr w:val="none" w:sz="0" w:space="0" w:color="auto" w:frame="1"/>
          <w:lang w:eastAsia="it-IT"/>
        </w:rPr>
        <w:t>-</w:t>
      </w:r>
      <w:r w:rsidRPr="002A2DF7">
        <w:rPr>
          <w:rFonts w:ascii="Arial" w:eastAsia="Times New Roman" w:hAnsi="Arial" w:cs="Arial"/>
          <w:color w:val="000000"/>
          <w:sz w:val="23"/>
          <w:szCs w:val="23"/>
          <w:bdr w:val="none" w:sz="0" w:space="0" w:color="auto" w:frame="1"/>
          <w:lang w:eastAsia="it-IT"/>
        </w:rPr>
        <w:t>capite è più alto. In particolare</w:t>
      </w:r>
      <w:r w:rsidR="006F49E8" w:rsidRPr="002A2DF7">
        <w:rPr>
          <w:rFonts w:ascii="Arial" w:eastAsia="Times New Roman" w:hAnsi="Arial" w:cs="Arial"/>
          <w:color w:val="000000"/>
          <w:sz w:val="23"/>
          <w:szCs w:val="23"/>
          <w:bdr w:val="none" w:sz="0" w:space="0" w:color="auto" w:frame="1"/>
          <w:lang w:eastAsia="it-IT"/>
        </w:rPr>
        <w:t>,</w:t>
      </w:r>
      <w:r w:rsidRPr="002A2DF7">
        <w:rPr>
          <w:rFonts w:ascii="Arial" w:eastAsia="Times New Roman" w:hAnsi="Arial" w:cs="Arial"/>
          <w:color w:val="000000"/>
          <w:sz w:val="23"/>
          <w:szCs w:val="23"/>
          <w:bdr w:val="none" w:sz="0" w:space="0" w:color="auto" w:frame="1"/>
          <w:lang w:eastAsia="it-IT"/>
        </w:rPr>
        <w:t xml:space="preserve"> ha distribuito </w:t>
      </w:r>
      <w:r w:rsidRPr="002A2DF7">
        <w:rPr>
          <w:rFonts w:ascii="Arial" w:eastAsia="Times New Roman" w:hAnsi="Arial" w:cs="Arial"/>
          <w:b/>
          <w:bCs/>
          <w:color w:val="000000"/>
          <w:sz w:val="23"/>
          <w:szCs w:val="23"/>
          <w:bdr w:val="none" w:sz="0" w:space="0" w:color="auto" w:frame="1"/>
          <w:lang w:eastAsia="it-IT"/>
        </w:rPr>
        <w:t>2.239 milioni di euro al Nord, 896 milioni al Centro e 1085 al Sud</w:t>
      </w:r>
      <w:r w:rsidRPr="002A2DF7">
        <w:rPr>
          <w:rFonts w:ascii="Arial" w:eastAsia="Times New Roman" w:hAnsi="Arial" w:cs="Arial"/>
          <w:color w:val="000000"/>
          <w:sz w:val="23"/>
          <w:szCs w:val="23"/>
          <w:bdr w:val="none" w:sz="0" w:space="0" w:color="auto" w:frame="1"/>
          <w:lang w:eastAsia="it-IT"/>
        </w:rPr>
        <w:t>. </w:t>
      </w:r>
    </w:p>
    <w:p w14:paraId="3D175015" w14:textId="77777777"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lang w:eastAsia="it-IT"/>
        </w:rPr>
      </w:pPr>
    </w:p>
    <w:p w14:paraId="725863E4" w14:textId="43765E7F"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r w:rsidRPr="002A2DF7">
        <w:rPr>
          <w:rFonts w:ascii="Arial" w:eastAsia="Times New Roman" w:hAnsi="Arial" w:cs="Arial"/>
          <w:color w:val="000000"/>
          <w:sz w:val="23"/>
          <w:szCs w:val="23"/>
          <w:bdr w:val="none" w:sz="0" w:space="0" w:color="auto" w:frame="1"/>
          <w:lang w:eastAsia="it-IT"/>
        </w:rPr>
        <w:t>Il secondo intervento (</w:t>
      </w:r>
      <w:r w:rsidRPr="002A2DF7">
        <w:rPr>
          <w:rFonts w:ascii="Arial" w:eastAsia="Times New Roman" w:hAnsi="Arial" w:cs="Arial"/>
          <w:b/>
          <w:bCs/>
          <w:color w:val="000000"/>
          <w:sz w:val="23"/>
          <w:szCs w:val="23"/>
          <w:bdr w:val="none" w:sz="0" w:space="0" w:color="auto" w:frame="1"/>
          <w:lang w:eastAsia="it-IT"/>
        </w:rPr>
        <w:t>800 milioni</w:t>
      </w:r>
      <w:r w:rsidRPr="002A2DF7">
        <w:rPr>
          <w:rFonts w:ascii="Arial" w:eastAsia="Times New Roman" w:hAnsi="Arial" w:cs="Arial"/>
          <w:color w:val="000000"/>
          <w:sz w:val="23"/>
          <w:szCs w:val="23"/>
          <w:bdr w:val="none" w:sz="0" w:space="0" w:color="auto" w:frame="1"/>
          <w:lang w:eastAsia="it-IT"/>
        </w:rPr>
        <w:t xml:space="preserve">) invece ha erogato risorse maggiori ai Comuni del </w:t>
      </w:r>
      <w:r w:rsidRPr="002A2DF7">
        <w:rPr>
          <w:rFonts w:ascii="Arial" w:eastAsia="Times New Roman" w:hAnsi="Arial" w:cs="Arial"/>
          <w:b/>
          <w:bCs/>
          <w:color w:val="000000"/>
          <w:sz w:val="23"/>
          <w:szCs w:val="23"/>
          <w:bdr w:val="none" w:sz="0" w:space="0" w:color="auto" w:frame="1"/>
          <w:lang w:eastAsia="it-IT"/>
        </w:rPr>
        <w:t xml:space="preserve">Mezzogiorno </w:t>
      </w:r>
      <w:r w:rsidRPr="002A2DF7">
        <w:rPr>
          <w:rFonts w:ascii="Arial" w:eastAsia="Times New Roman" w:hAnsi="Arial" w:cs="Arial"/>
          <w:color w:val="000000"/>
          <w:sz w:val="23"/>
          <w:szCs w:val="23"/>
          <w:bdr w:val="none" w:sz="0" w:space="0" w:color="auto" w:frame="1"/>
          <w:lang w:eastAsia="it-IT"/>
        </w:rPr>
        <w:t xml:space="preserve">per effetto di un parametro legato al </w:t>
      </w:r>
      <w:r w:rsidRPr="002A2DF7">
        <w:rPr>
          <w:rFonts w:ascii="Arial" w:eastAsia="Times New Roman" w:hAnsi="Arial" w:cs="Arial"/>
          <w:b/>
          <w:bCs/>
          <w:color w:val="000000"/>
          <w:sz w:val="23"/>
          <w:szCs w:val="23"/>
          <w:bdr w:val="none" w:sz="0" w:space="0" w:color="auto" w:frame="1"/>
          <w:lang w:eastAsia="it-IT"/>
        </w:rPr>
        <w:t>reddito pro capite</w:t>
      </w:r>
      <w:r w:rsidRPr="002A2DF7">
        <w:rPr>
          <w:rFonts w:ascii="Arial" w:eastAsia="Times New Roman" w:hAnsi="Arial" w:cs="Arial"/>
          <w:color w:val="000000"/>
          <w:sz w:val="23"/>
          <w:szCs w:val="23"/>
          <w:bdr w:val="none" w:sz="0" w:space="0" w:color="auto" w:frame="1"/>
          <w:lang w:eastAsia="it-IT"/>
        </w:rPr>
        <w:t xml:space="preserve"> utilizzato per intensificare l’intervento in quei comuni dove era inferiore alla media nazionale. Nello specifico: </w:t>
      </w:r>
      <w:r w:rsidRPr="002A2DF7">
        <w:rPr>
          <w:rFonts w:ascii="Arial" w:eastAsia="Times New Roman" w:hAnsi="Arial" w:cs="Arial"/>
          <w:b/>
          <w:bCs/>
          <w:color w:val="000000"/>
          <w:sz w:val="23"/>
          <w:szCs w:val="23"/>
          <w:bdr w:val="none" w:sz="0" w:space="0" w:color="auto" w:frame="1"/>
          <w:lang w:eastAsia="it-IT"/>
        </w:rPr>
        <w:t>307 milioni al Nord</w:t>
      </w:r>
      <w:r w:rsidRPr="002A2DF7">
        <w:rPr>
          <w:rFonts w:ascii="Arial" w:eastAsia="Times New Roman" w:hAnsi="Arial" w:cs="Arial"/>
          <w:color w:val="000000"/>
          <w:sz w:val="23"/>
          <w:szCs w:val="23"/>
          <w:bdr w:val="none" w:sz="0" w:space="0" w:color="auto" w:frame="1"/>
          <w:lang w:eastAsia="it-IT"/>
        </w:rPr>
        <w:t xml:space="preserve">, </w:t>
      </w:r>
      <w:r w:rsidRPr="002A2DF7">
        <w:rPr>
          <w:rFonts w:ascii="Arial" w:eastAsia="Times New Roman" w:hAnsi="Arial" w:cs="Arial"/>
          <w:b/>
          <w:bCs/>
          <w:color w:val="000000"/>
          <w:sz w:val="23"/>
          <w:szCs w:val="23"/>
          <w:bdr w:val="none" w:sz="0" w:space="0" w:color="auto" w:frame="1"/>
          <w:lang w:eastAsia="it-IT"/>
        </w:rPr>
        <w:t>146 milioni al Centro</w:t>
      </w:r>
      <w:r w:rsidRPr="002A2DF7">
        <w:rPr>
          <w:rFonts w:ascii="Arial" w:eastAsia="Times New Roman" w:hAnsi="Arial" w:cs="Arial"/>
          <w:color w:val="000000"/>
          <w:sz w:val="23"/>
          <w:szCs w:val="23"/>
          <w:bdr w:val="none" w:sz="0" w:space="0" w:color="auto" w:frame="1"/>
          <w:lang w:eastAsia="it-IT"/>
        </w:rPr>
        <w:t xml:space="preserve"> e i rimanenti </w:t>
      </w:r>
      <w:r w:rsidRPr="002A2DF7">
        <w:rPr>
          <w:rFonts w:ascii="Arial" w:eastAsia="Times New Roman" w:hAnsi="Arial" w:cs="Arial"/>
          <w:b/>
          <w:bCs/>
          <w:color w:val="000000"/>
          <w:sz w:val="23"/>
          <w:szCs w:val="23"/>
          <w:bdr w:val="none" w:sz="0" w:space="0" w:color="auto" w:frame="1"/>
          <w:lang w:eastAsia="it-IT"/>
        </w:rPr>
        <w:t>346 al Sud</w:t>
      </w:r>
      <w:r w:rsidRPr="002A2DF7">
        <w:rPr>
          <w:rFonts w:ascii="Arial" w:eastAsia="Times New Roman" w:hAnsi="Arial" w:cs="Arial"/>
          <w:color w:val="000000"/>
          <w:sz w:val="23"/>
          <w:szCs w:val="23"/>
          <w:bdr w:val="none" w:sz="0" w:space="0" w:color="auto" w:frame="1"/>
          <w:lang w:eastAsia="it-IT"/>
        </w:rPr>
        <w:t>. Pertanto</w:t>
      </w:r>
      <w:r w:rsidR="006F49E8" w:rsidRPr="002A2DF7">
        <w:rPr>
          <w:rFonts w:ascii="Arial" w:eastAsia="Times New Roman" w:hAnsi="Arial" w:cs="Arial"/>
          <w:color w:val="000000"/>
          <w:sz w:val="23"/>
          <w:szCs w:val="23"/>
          <w:bdr w:val="none" w:sz="0" w:space="0" w:color="auto" w:frame="1"/>
          <w:lang w:eastAsia="it-IT"/>
        </w:rPr>
        <w:t>,</w:t>
      </w:r>
      <w:r w:rsidRPr="002A2DF7">
        <w:rPr>
          <w:rFonts w:ascii="Arial" w:eastAsia="Times New Roman" w:hAnsi="Arial" w:cs="Arial"/>
          <w:color w:val="000000"/>
          <w:sz w:val="23"/>
          <w:szCs w:val="23"/>
          <w:bdr w:val="none" w:sz="0" w:space="0" w:color="auto" w:frame="1"/>
          <w:lang w:eastAsia="it-IT"/>
        </w:rPr>
        <w:t xml:space="preserve"> dal complesso dei due interventi è risultato un aiuto da </w:t>
      </w:r>
      <w:r w:rsidRPr="002A2DF7">
        <w:rPr>
          <w:rFonts w:ascii="Arial" w:eastAsia="Times New Roman" w:hAnsi="Arial" w:cs="Arial"/>
          <w:b/>
          <w:bCs/>
          <w:color w:val="000000"/>
          <w:sz w:val="23"/>
          <w:szCs w:val="23"/>
          <w:bdr w:val="none" w:sz="0" w:space="0" w:color="auto" w:frame="1"/>
          <w:lang w:eastAsia="it-IT"/>
        </w:rPr>
        <w:t>2.546 milioni al Nord, 1.042 milioni al Centro e 1.431 milioni al Sud</w:t>
      </w:r>
      <w:r w:rsidRPr="002A2DF7">
        <w:rPr>
          <w:rFonts w:ascii="Arial" w:eastAsia="Times New Roman" w:hAnsi="Arial" w:cs="Arial"/>
          <w:color w:val="000000"/>
          <w:sz w:val="23"/>
          <w:szCs w:val="23"/>
          <w:bdr w:val="none" w:sz="0" w:space="0" w:color="auto" w:frame="1"/>
          <w:lang w:eastAsia="it-IT"/>
        </w:rPr>
        <w:t>. </w:t>
      </w:r>
    </w:p>
    <w:p w14:paraId="2E3FF398" w14:textId="77777777"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lang w:eastAsia="it-IT"/>
        </w:rPr>
      </w:pPr>
    </w:p>
    <w:p w14:paraId="43FD1944" w14:textId="47ECEBCA"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r w:rsidRPr="002A2DF7">
        <w:rPr>
          <w:rFonts w:ascii="Arial" w:eastAsia="Times New Roman" w:hAnsi="Arial" w:cs="Arial"/>
          <w:color w:val="000000"/>
          <w:sz w:val="23"/>
          <w:szCs w:val="23"/>
          <w:bdr w:val="none" w:sz="0" w:space="0" w:color="auto" w:frame="1"/>
          <w:lang w:eastAsia="it-IT"/>
        </w:rPr>
        <w:t xml:space="preserve">A livello di singole regioni, per quanto riguarda il Fondo per l’esercizio delle funzioni fondamentali, le prime tre per aiuti ricevuti sono </w:t>
      </w:r>
      <w:r w:rsidRPr="002A2DF7">
        <w:rPr>
          <w:rFonts w:ascii="Arial" w:eastAsia="Times New Roman" w:hAnsi="Arial" w:cs="Arial"/>
          <w:b/>
          <w:bCs/>
          <w:color w:val="000000"/>
          <w:sz w:val="23"/>
          <w:szCs w:val="23"/>
          <w:bdr w:val="none" w:sz="0" w:space="0" w:color="auto" w:frame="1"/>
          <w:lang w:eastAsia="it-IT"/>
        </w:rPr>
        <w:t>Lombardia, Lazio e Veneto</w:t>
      </w:r>
      <w:r w:rsidRPr="002A2DF7">
        <w:rPr>
          <w:rFonts w:ascii="Arial" w:eastAsia="Times New Roman" w:hAnsi="Arial" w:cs="Arial"/>
          <w:color w:val="000000"/>
          <w:sz w:val="23"/>
          <w:szCs w:val="23"/>
          <w:bdr w:val="none" w:sz="0" w:space="0" w:color="auto" w:frame="1"/>
          <w:lang w:eastAsia="it-IT"/>
        </w:rPr>
        <w:t xml:space="preserve">, mentre per la solidarietà alimentare, sul podio </w:t>
      </w:r>
      <w:r w:rsidRPr="002A2DF7">
        <w:rPr>
          <w:rFonts w:ascii="Arial" w:eastAsia="Times New Roman" w:hAnsi="Arial" w:cs="Arial"/>
          <w:b/>
          <w:bCs/>
          <w:color w:val="000000"/>
          <w:sz w:val="23"/>
          <w:szCs w:val="23"/>
          <w:bdr w:val="none" w:sz="0" w:space="0" w:color="auto" w:frame="1"/>
          <w:lang w:eastAsia="it-IT"/>
        </w:rPr>
        <w:t>Lombardia, Campania e Sicilia</w:t>
      </w:r>
      <w:r w:rsidRPr="002A2DF7">
        <w:rPr>
          <w:rFonts w:ascii="Arial" w:eastAsia="Times New Roman" w:hAnsi="Arial" w:cs="Arial"/>
          <w:color w:val="000000"/>
          <w:sz w:val="23"/>
          <w:szCs w:val="23"/>
          <w:bdr w:val="none" w:sz="0" w:space="0" w:color="auto" w:frame="1"/>
          <w:lang w:eastAsia="it-IT"/>
        </w:rPr>
        <w:t>. </w:t>
      </w:r>
    </w:p>
    <w:p w14:paraId="1169FCD1" w14:textId="77777777"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lang w:eastAsia="it-IT"/>
        </w:rPr>
      </w:pPr>
    </w:p>
    <w:p w14:paraId="5FBF0DDC" w14:textId="2A14A9D4"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r w:rsidRPr="002A2DF7">
        <w:rPr>
          <w:rFonts w:ascii="Arial" w:eastAsia="Times New Roman" w:hAnsi="Arial" w:cs="Arial"/>
          <w:color w:val="000000"/>
          <w:sz w:val="23"/>
          <w:szCs w:val="23"/>
          <w:bdr w:val="none" w:sz="0" w:space="0" w:color="auto" w:frame="1"/>
          <w:lang w:eastAsia="it-IT"/>
        </w:rPr>
        <w:t>Il documento elaborato dai commercialisti è articolato in due parti. L’introduzione illustra in modo sinottico le misure emergenziali disposte dai diversi provvedimenti anticrisi che si sono susseguiti nel corso del 2020. Mentre nella seconda parte, spazio, per ciascuna delle due misure esaminate, ad un’analisi del meccanismo normativo e ad una illustrazione degli effetti economici che ne sono derivati. </w:t>
      </w:r>
    </w:p>
    <w:p w14:paraId="75C403ED" w14:textId="193FACCB" w:rsidR="001305CF" w:rsidRPr="002A2DF7" w:rsidRDefault="001305CF" w:rsidP="002A2DF7">
      <w:pPr>
        <w:shd w:val="clear" w:color="auto" w:fill="FFFFFF"/>
        <w:spacing w:after="0" w:line="240" w:lineRule="auto"/>
        <w:jc w:val="both"/>
        <w:rPr>
          <w:rFonts w:ascii="Arial" w:eastAsia="Times New Roman" w:hAnsi="Arial" w:cs="Arial"/>
          <w:color w:val="000000"/>
          <w:sz w:val="23"/>
          <w:szCs w:val="23"/>
          <w:lang w:eastAsia="it-IT"/>
        </w:rPr>
      </w:pPr>
    </w:p>
    <w:p w14:paraId="3F8387B0" w14:textId="586DB941" w:rsidR="001305CF" w:rsidRDefault="001305CF"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r w:rsidRPr="002A2DF7">
        <w:rPr>
          <w:rFonts w:ascii="Arial" w:eastAsia="Times New Roman" w:hAnsi="Arial" w:cs="Arial"/>
          <w:color w:val="000000"/>
          <w:sz w:val="23"/>
          <w:szCs w:val="23"/>
          <w:bdr w:val="none" w:sz="0" w:space="0" w:color="auto" w:frame="1"/>
          <w:lang w:eastAsia="it-IT"/>
        </w:rPr>
        <w:t xml:space="preserve">Lo studio si conclude con un focus sulle risorse integrative del </w:t>
      </w:r>
      <w:r w:rsidRPr="002A2DF7">
        <w:rPr>
          <w:rFonts w:ascii="Arial" w:eastAsia="Times New Roman" w:hAnsi="Arial" w:cs="Arial"/>
          <w:b/>
          <w:bCs/>
          <w:color w:val="000000"/>
          <w:sz w:val="23"/>
          <w:szCs w:val="23"/>
          <w:bdr w:val="none" w:sz="0" w:space="0" w:color="auto" w:frame="1"/>
          <w:lang w:eastAsia="it-IT"/>
        </w:rPr>
        <w:t>Fondo funzioni fondamentali per il 2021</w:t>
      </w:r>
      <w:r w:rsidRPr="002A2DF7">
        <w:rPr>
          <w:rFonts w:ascii="Arial" w:eastAsia="Times New Roman" w:hAnsi="Arial" w:cs="Arial"/>
          <w:color w:val="000000"/>
          <w:sz w:val="23"/>
          <w:szCs w:val="23"/>
          <w:bdr w:val="none" w:sz="0" w:space="0" w:color="auto" w:frame="1"/>
          <w:lang w:eastAsia="it-IT"/>
        </w:rPr>
        <w:t xml:space="preserve"> che ha visto un </w:t>
      </w:r>
      <w:r w:rsidRPr="002A2DF7">
        <w:rPr>
          <w:rFonts w:ascii="Arial" w:eastAsia="Times New Roman" w:hAnsi="Arial" w:cs="Arial"/>
          <w:b/>
          <w:bCs/>
          <w:color w:val="000000"/>
          <w:sz w:val="23"/>
          <w:szCs w:val="23"/>
          <w:bdr w:val="none" w:sz="0" w:space="0" w:color="auto" w:frame="1"/>
          <w:lang w:eastAsia="it-IT"/>
        </w:rPr>
        <w:t>acconto pari a 220 milioni di euro</w:t>
      </w:r>
      <w:r w:rsidRPr="002A2DF7">
        <w:rPr>
          <w:rFonts w:ascii="Arial" w:eastAsia="Times New Roman" w:hAnsi="Arial" w:cs="Arial"/>
          <w:color w:val="000000"/>
          <w:sz w:val="23"/>
          <w:szCs w:val="23"/>
          <w:bdr w:val="none" w:sz="0" w:space="0" w:color="auto" w:frame="1"/>
          <w:lang w:eastAsia="it-IT"/>
        </w:rPr>
        <w:t xml:space="preserve"> di cui 200 milioni ai comuni e 20 milioni alle Città Metropolitane e alle Province. La sua ripartizione </w:t>
      </w:r>
      <w:r w:rsidRPr="002A2DF7">
        <w:rPr>
          <w:rFonts w:ascii="Arial" w:eastAsia="Times New Roman" w:hAnsi="Arial" w:cs="Arial"/>
          <w:b/>
          <w:bCs/>
          <w:color w:val="000000"/>
          <w:sz w:val="23"/>
          <w:szCs w:val="23"/>
          <w:bdr w:val="none" w:sz="0" w:space="0" w:color="auto" w:frame="1"/>
          <w:lang w:eastAsia="it-IT"/>
        </w:rPr>
        <w:t>accentua ulteriormente</w:t>
      </w:r>
      <w:r w:rsidRPr="002A2DF7">
        <w:rPr>
          <w:rFonts w:ascii="Arial" w:eastAsia="Times New Roman" w:hAnsi="Arial" w:cs="Arial"/>
          <w:color w:val="000000"/>
          <w:sz w:val="23"/>
          <w:szCs w:val="23"/>
          <w:bdr w:val="none" w:sz="0" w:space="0" w:color="auto" w:frame="1"/>
          <w:lang w:eastAsia="it-IT"/>
        </w:rPr>
        <w:t xml:space="preserve"> la concentrazione delle risorse a favore degli enti situati nelle regioni del Nord che raccolgono il </w:t>
      </w:r>
      <w:r w:rsidRPr="002A2DF7">
        <w:rPr>
          <w:rFonts w:ascii="Arial" w:eastAsia="Times New Roman" w:hAnsi="Arial" w:cs="Arial"/>
          <w:b/>
          <w:bCs/>
          <w:color w:val="000000"/>
          <w:sz w:val="23"/>
          <w:szCs w:val="23"/>
          <w:bdr w:val="none" w:sz="0" w:space="0" w:color="auto" w:frame="1"/>
          <w:lang w:eastAsia="it-IT"/>
        </w:rPr>
        <w:t>58% mentre il Sud si ferma al 18%</w:t>
      </w:r>
      <w:r w:rsidRPr="002A2DF7">
        <w:rPr>
          <w:rFonts w:ascii="Arial" w:eastAsia="Times New Roman" w:hAnsi="Arial" w:cs="Arial"/>
          <w:color w:val="000000"/>
          <w:sz w:val="23"/>
          <w:szCs w:val="23"/>
          <w:bdr w:val="none" w:sz="0" w:space="0" w:color="auto" w:frame="1"/>
          <w:lang w:eastAsia="it-IT"/>
        </w:rPr>
        <w:t xml:space="preserve">. La parziale eccezione del </w:t>
      </w:r>
      <w:r w:rsidRPr="002A2DF7">
        <w:rPr>
          <w:rFonts w:ascii="Arial" w:eastAsia="Times New Roman" w:hAnsi="Arial" w:cs="Arial"/>
          <w:b/>
          <w:bCs/>
          <w:color w:val="000000"/>
          <w:sz w:val="23"/>
          <w:szCs w:val="23"/>
          <w:bdr w:val="none" w:sz="0" w:space="0" w:color="auto" w:frame="1"/>
          <w:lang w:eastAsia="it-IT"/>
        </w:rPr>
        <w:t xml:space="preserve">Lazio </w:t>
      </w:r>
      <w:r w:rsidRPr="002A2DF7">
        <w:rPr>
          <w:rFonts w:ascii="Arial" w:eastAsia="Times New Roman" w:hAnsi="Arial" w:cs="Arial"/>
          <w:color w:val="000000"/>
          <w:sz w:val="23"/>
          <w:szCs w:val="23"/>
          <w:bdr w:val="none" w:sz="0" w:space="0" w:color="auto" w:frame="1"/>
          <w:lang w:eastAsia="it-IT"/>
        </w:rPr>
        <w:t xml:space="preserve">è imputabile </w:t>
      </w:r>
      <w:r w:rsidRPr="002A2DF7">
        <w:rPr>
          <w:rFonts w:ascii="Arial" w:eastAsia="Times New Roman" w:hAnsi="Arial" w:cs="Arial"/>
          <w:b/>
          <w:bCs/>
          <w:color w:val="000000"/>
          <w:sz w:val="23"/>
          <w:szCs w:val="23"/>
          <w:bdr w:val="none" w:sz="0" w:space="0" w:color="auto" w:frame="1"/>
          <w:lang w:eastAsia="it-IT"/>
        </w:rPr>
        <w:t>al peso di Roma</w:t>
      </w:r>
      <w:r w:rsidRPr="002A2DF7">
        <w:rPr>
          <w:rFonts w:ascii="Arial" w:eastAsia="Times New Roman" w:hAnsi="Arial" w:cs="Arial"/>
          <w:color w:val="000000"/>
          <w:sz w:val="23"/>
          <w:szCs w:val="23"/>
          <w:bdr w:val="none" w:sz="0" w:space="0" w:color="auto" w:frame="1"/>
          <w:lang w:eastAsia="it-IT"/>
        </w:rPr>
        <w:t xml:space="preserve"> caratterizzata da una capacità fiscale pari a quella delle regioni settentrionali.</w:t>
      </w:r>
    </w:p>
    <w:p w14:paraId="0468CF3B" w14:textId="43E2AB07" w:rsidR="00D326A9" w:rsidRDefault="00D326A9"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p>
    <w:p w14:paraId="69C805E7" w14:textId="77777777" w:rsidR="00D326A9" w:rsidRPr="002A2DF7" w:rsidRDefault="00D326A9" w:rsidP="002A2DF7">
      <w:pPr>
        <w:shd w:val="clear" w:color="auto" w:fill="FFFFFF"/>
        <w:spacing w:after="0" w:line="240" w:lineRule="auto"/>
        <w:jc w:val="both"/>
        <w:rPr>
          <w:rFonts w:ascii="Arial" w:eastAsia="Times New Roman" w:hAnsi="Arial" w:cs="Arial"/>
          <w:color w:val="000000"/>
          <w:sz w:val="23"/>
          <w:szCs w:val="23"/>
          <w:bdr w:val="none" w:sz="0" w:space="0" w:color="auto" w:frame="1"/>
          <w:lang w:eastAsia="it-IT"/>
        </w:rPr>
      </w:pPr>
    </w:p>
    <w:p w14:paraId="03E318E5" w14:textId="77777777" w:rsidR="006F49E8" w:rsidRPr="001305CF" w:rsidRDefault="006F49E8" w:rsidP="001305CF">
      <w:pPr>
        <w:shd w:val="clear" w:color="auto" w:fill="FFFFFF"/>
        <w:spacing w:after="0" w:line="240" w:lineRule="auto"/>
        <w:jc w:val="both"/>
        <w:rPr>
          <w:rFonts w:ascii="Arial" w:eastAsia="Times New Roman" w:hAnsi="Arial" w:cs="Arial"/>
          <w:color w:val="000000"/>
          <w:sz w:val="24"/>
          <w:szCs w:val="24"/>
          <w:bdr w:val="none" w:sz="0" w:space="0" w:color="auto" w:frame="1"/>
          <w:lang w:eastAsia="it-IT"/>
        </w:rPr>
      </w:pPr>
    </w:p>
    <w:p w14:paraId="7C3D92EC" w14:textId="77777777" w:rsidR="00D326A9" w:rsidRDefault="001305CF" w:rsidP="001305CF">
      <w:pPr>
        <w:shd w:val="clear" w:color="auto" w:fill="FFFFFF"/>
        <w:spacing w:after="0" w:line="240" w:lineRule="auto"/>
        <w:jc w:val="both"/>
        <w:rPr>
          <w:rFonts w:ascii="Arial" w:eastAsia="Times New Roman" w:hAnsi="Arial" w:cs="Arial"/>
          <w:color w:val="000000"/>
          <w:bdr w:val="none" w:sz="0" w:space="0" w:color="auto" w:frame="1"/>
          <w:lang w:eastAsia="it-IT"/>
        </w:rPr>
      </w:pPr>
      <w:r w:rsidRPr="00D326A9">
        <w:rPr>
          <w:rFonts w:ascii="Arial" w:eastAsia="Times New Roman" w:hAnsi="Arial" w:cs="Arial"/>
          <w:color w:val="000000"/>
          <w:bdr w:val="none" w:sz="0" w:space="0" w:color="auto" w:frame="1"/>
          <w:lang w:eastAsia="it-IT"/>
        </w:rPr>
        <w:lastRenderedPageBreak/>
        <w:t> </w:t>
      </w:r>
    </w:p>
    <w:p w14:paraId="17030756" w14:textId="77777777" w:rsidR="00D326A9" w:rsidRDefault="00D326A9" w:rsidP="001305CF">
      <w:pPr>
        <w:shd w:val="clear" w:color="auto" w:fill="FFFFFF"/>
        <w:spacing w:after="0" w:line="240" w:lineRule="auto"/>
        <w:jc w:val="both"/>
        <w:rPr>
          <w:rFonts w:ascii="Arial" w:eastAsia="Times New Roman" w:hAnsi="Arial" w:cs="Arial"/>
          <w:color w:val="000000"/>
          <w:bdr w:val="none" w:sz="0" w:space="0" w:color="auto" w:frame="1"/>
          <w:lang w:eastAsia="it-IT"/>
        </w:rPr>
      </w:pPr>
    </w:p>
    <w:p w14:paraId="47E42EC3" w14:textId="77777777" w:rsidR="00D326A9" w:rsidRDefault="00D326A9" w:rsidP="001305CF">
      <w:pPr>
        <w:shd w:val="clear" w:color="auto" w:fill="FFFFFF"/>
        <w:spacing w:after="0" w:line="240" w:lineRule="auto"/>
        <w:jc w:val="both"/>
        <w:rPr>
          <w:rFonts w:ascii="Arial" w:eastAsia="Times New Roman" w:hAnsi="Arial" w:cs="Arial"/>
          <w:color w:val="000000"/>
          <w:bdr w:val="none" w:sz="0" w:space="0" w:color="auto" w:frame="1"/>
          <w:lang w:eastAsia="it-IT"/>
        </w:rPr>
      </w:pPr>
    </w:p>
    <w:p w14:paraId="33F951D1" w14:textId="6A3D2C95" w:rsidR="001305CF" w:rsidRPr="00D326A9" w:rsidRDefault="001305CF" w:rsidP="001305CF">
      <w:pPr>
        <w:shd w:val="clear" w:color="auto" w:fill="FFFFFF"/>
        <w:spacing w:after="0" w:line="240" w:lineRule="auto"/>
        <w:jc w:val="both"/>
        <w:rPr>
          <w:rFonts w:ascii="Arial" w:eastAsia="Times New Roman" w:hAnsi="Arial" w:cs="Arial"/>
          <w:color w:val="000000"/>
          <w:lang w:eastAsia="it-IT"/>
        </w:rPr>
      </w:pPr>
      <w:r w:rsidRPr="00D326A9">
        <w:rPr>
          <w:rFonts w:ascii="Arial" w:eastAsia="Times New Roman" w:hAnsi="Arial" w:cs="Arial"/>
          <w:color w:val="000000"/>
          <w:bdr w:val="none" w:sz="0" w:space="0" w:color="auto" w:frame="1"/>
          <w:lang w:eastAsia="it-IT"/>
        </w:rPr>
        <w:t>Ripartizione del Fondo aggregato per singola Regione</w:t>
      </w:r>
    </w:p>
    <w:p w14:paraId="7EC48175" w14:textId="4DDD497E" w:rsidR="001305CF" w:rsidRPr="00D326A9" w:rsidRDefault="001305CF" w:rsidP="001305CF">
      <w:pPr>
        <w:shd w:val="clear" w:color="auto" w:fill="FFFFFF"/>
        <w:spacing w:after="0" w:line="240" w:lineRule="auto"/>
        <w:jc w:val="both"/>
        <w:rPr>
          <w:rFonts w:ascii="Arial" w:eastAsia="Times New Roman" w:hAnsi="Arial" w:cs="Arial"/>
          <w:color w:val="000000"/>
          <w:lang w:eastAsia="it-IT"/>
        </w:rPr>
      </w:pPr>
      <w:r w:rsidRPr="00D326A9">
        <w:rPr>
          <w:rFonts w:ascii="Arial" w:eastAsia="Times New Roman" w:hAnsi="Arial" w:cs="Arial"/>
          <w:b/>
          <w:bCs/>
          <w:noProof/>
        </w:rPr>
        <w:drawing>
          <wp:inline distT="0" distB="0" distL="0" distR="0" wp14:anchorId="212C80BF" wp14:editId="04084F77">
            <wp:extent cx="3840480" cy="3276600"/>
            <wp:effectExtent l="0" t="0" r="762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0480" cy="3276600"/>
                    </a:xfrm>
                    <a:prstGeom prst="rect">
                      <a:avLst/>
                    </a:prstGeom>
                    <a:noFill/>
                    <a:ln>
                      <a:noFill/>
                    </a:ln>
                  </pic:spPr>
                </pic:pic>
              </a:graphicData>
            </a:graphic>
          </wp:inline>
        </w:drawing>
      </w:r>
      <w:r w:rsidRPr="00D326A9">
        <w:rPr>
          <w:rFonts w:ascii="Arial" w:eastAsia="Times New Roman" w:hAnsi="Arial" w:cs="Arial"/>
          <w:color w:val="000000"/>
          <w:bdr w:val="none" w:sz="0" w:space="0" w:color="auto" w:frame="1"/>
          <w:lang w:eastAsia="it-IT"/>
        </w:rPr>
        <w:br/>
      </w:r>
    </w:p>
    <w:p w14:paraId="53A77118" w14:textId="77777777" w:rsidR="001305CF" w:rsidRPr="00D326A9" w:rsidRDefault="001305CF" w:rsidP="001305CF">
      <w:pPr>
        <w:shd w:val="clear" w:color="auto" w:fill="FFFFFF"/>
        <w:spacing w:after="0" w:line="240" w:lineRule="auto"/>
        <w:textAlignment w:val="baseline"/>
        <w:rPr>
          <w:rFonts w:ascii="Arial" w:eastAsia="Times New Roman" w:hAnsi="Arial" w:cs="Arial"/>
          <w:color w:val="000000"/>
          <w:lang w:eastAsia="it-IT"/>
        </w:rPr>
      </w:pPr>
    </w:p>
    <w:p w14:paraId="7A593426" w14:textId="77777777" w:rsidR="001305CF" w:rsidRPr="00D326A9" w:rsidRDefault="001305CF" w:rsidP="001305CF">
      <w:pPr>
        <w:shd w:val="clear" w:color="auto" w:fill="FFFFFF"/>
        <w:spacing w:after="0" w:line="240" w:lineRule="auto"/>
        <w:textAlignment w:val="baseline"/>
        <w:rPr>
          <w:rFonts w:ascii="Arial" w:eastAsia="Times New Roman" w:hAnsi="Arial" w:cs="Arial"/>
          <w:color w:val="000000"/>
          <w:bdr w:val="none" w:sz="0" w:space="0" w:color="auto" w:frame="1"/>
          <w:lang w:val="en-US" w:eastAsia="it-IT"/>
        </w:rPr>
      </w:pPr>
      <w:proofErr w:type="spellStart"/>
      <w:r w:rsidRPr="00D326A9">
        <w:rPr>
          <w:rFonts w:ascii="Arial" w:eastAsia="Times New Roman" w:hAnsi="Arial" w:cs="Arial"/>
          <w:color w:val="000000"/>
          <w:bdr w:val="none" w:sz="0" w:space="0" w:color="auto" w:frame="1"/>
          <w:lang w:val="en-US" w:eastAsia="it-IT"/>
        </w:rPr>
        <w:t>Riparto</w:t>
      </w:r>
      <w:proofErr w:type="spellEnd"/>
      <w:r w:rsidRPr="00D326A9">
        <w:rPr>
          <w:rFonts w:ascii="Arial" w:eastAsia="Times New Roman" w:hAnsi="Arial" w:cs="Arial"/>
          <w:color w:val="000000"/>
          <w:bdr w:val="none" w:sz="0" w:space="0" w:color="auto" w:frame="1"/>
          <w:lang w:val="en-US" w:eastAsia="it-IT"/>
        </w:rPr>
        <w:t xml:space="preserve"> “</w:t>
      </w:r>
      <w:proofErr w:type="spellStart"/>
      <w:r w:rsidRPr="00D326A9">
        <w:rPr>
          <w:rFonts w:ascii="Arial" w:eastAsia="Times New Roman" w:hAnsi="Arial" w:cs="Arial"/>
          <w:color w:val="000000"/>
          <w:bdr w:val="none" w:sz="0" w:space="0" w:color="auto" w:frame="1"/>
          <w:lang w:val="en-US" w:eastAsia="it-IT"/>
        </w:rPr>
        <w:t>Solidarietà</w:t>
      </w:r>
      <w:proofErr w:type="spellEnd"/>
      <w:r w:rsidRPr="00D326A9">
        <w:rPr>
          <w:rFonts w:ascii="Arial" w:eastAsia="Times New Roman" w:hAnsi="Arial" w:cs="Arial"/>
          <w:color w:val="000000"/>
          <w:bdr w:val="none" w:sz="0" w:space="0" w:color="auto" w:frame="1"/>
          <w:lang w:val="en-US" w:eastAsia="it-IT"/>
        </w:rPr>
        <w:t xml:space="preserve"> </w:t>
      </w:r>
      <w:proofErr w:type="spellStart"/>
      <w:r w:rsidRPr="00D326A9">
        <w:rPr>
          <w:rFonts w:ascii="Arial" w:eastAsia="Times New Roman" w:hAnsi="Arial" w:cs="Arial"/>
          <w:color w:val="000000"/>
          <w:bdr w:val="none" w:sz="0" w:space="0" w:color="auto" w:frame="1"/>
          <w:lang w:val="en-US" w:eastAsia="it-IT"/>
        </w:rPr>
        <w:t>comunale</w:t>
      </w:r>
      <w:proofErr w:type="spellEnd"/>
      <w:r w:rsidRPr="00D326A9">
        <w:rPr>
          <w:rFonts w:ascii="Arial" w:eastAsia="Times New Roman" w:hAnsi="Arial" w:cs="Arial"/>
          <w:color w:val="000000"/>
          <w:bdr w:val="none" w:sz="0" w:space="0" w:color="auto" w:frame="1"/>
          <w:lang w:val="en-US" w:eastAsia="it-IT"/>
        </w:rPr>
        <w:t xml:space="preserve">” per </w:t>
      </w:r>
      <w:proofErr w:type="spellStart"/>
      <w:r w:rsidRPr="00D326A9">
        <w:rPr>
          <w:rFonts w:ascii="Arial" w:eastAsia="Times New Roman" w:hAnsi="Arial" w:cs="Arial"/>
          <w:color w:val="000000"/>
          <w:bdr w:val="none" w:sz="0" w:space="0" w:color="auto" w:frame="1"/>
          <w:lang w:val="en-US" w:eastAsia="it-IT"/>
        </w:rPr>
        <w:t>Regione</w:t>
      </w:r>
      <w:proofErr w:type="spellEnd"/>
    </w:p>
    <w:p w14:paraId="26925674" w14:textId="38AE2848" w:rsidR="00F362C1" w:rsidRPr="00D326A9" w:rsidRDefault="001305CF" w:rsidP="00034701">
      <w:pPr>
        <w:shd w:val="clear" w:color="auto" w:fill="FFFFFF"/>
        <w:spacing w:after="0" w:line="240" w:lineRule="auto"/>
        <w:textAlignment w:val="baseline"/>
        <w:rPr>
          <w:rFonts w:ascii="Arial" w:hAnsi="Arial" w:cs="Arial"/>
          <w:color w:val="4472C4" w:themeColor="accent1"/>
        </w:rPr>
      </w:pPr>
      <w:r w:rsidRPr="00D326A9">
        <w:rPr>
          <w:rFonts w:ascii="Arial" w:eastAsia="Times New Roman" w:hAnsi="Arial" w:cs="Arial"/>
          <w:b/>
          <w:bCs/>
          <w:noProof/>
        </w:rPr>
        <w:drawing>
          <wp:inline distT="0" distB="0" distL="0" distR="0" wp14:anchorId="4353F089" wp14:editId="348486D0">
            <wp:extent cx="2674620" cy="3429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4620" cy="3429000"/>
                    </a:xfrm>
                    <a:prstGeom prst="rect">
                      <a:avLst/>
                    </a:prstGeom>
                    <a:noFill/>
                    <a:ln>
                      <a:noFill/>
                    </a:ln>
                  </pic:spPr>
                </pic:pic>
              </a:graphicData>
            </a:graphic>
          </wp:inline>
        </w:drawing>
      </w:r>
    </w:p>
    <w:sectPr w:rsidR="00F362C1" w:rsidRPr="00D326A9">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72080" w14:textId="77777777" w:rsidR="0089463C" w:rsidRDefault="0089463C" w:rsidP="00C244F9">
      <w:pPr>
        <w:spacing w:after="0" w:line="240" w:lineRule="auto"/>
      </w:pPr>
      <w:r>
        <w:separator/>
      </w:r>
    </w:p>
  </w:endnote>
  <w:endnote w:type="continuationSeparator" w:id="0">
    <w:p w14:paraId="624F6A00" w14:textId="77777777" w:rsidR="0089463C" w:rsidRDefault="0089463C"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661D5" w14:textId="77777777" w:rsidR="0089463C" w:rsidRDefault="0089463C" w:rsidP="00C244F9">
      <w:pPr>
        <w:spacing w:after="0" w:line="240" w:lineRule="auto"/>
      </w:pPr>
      <w:r>
        <w:separator/>
      </w:r>
    </w:p>
  </w:footnote>
  <w:footnote w:type="continuationSeparator" w:id="0">
    <w:p w14:paraId="380D3132" w14:textId="77777777" w:rsidR="0089463C" w:rsidRDefault="0089463C"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27E8B" w14:textId="541D4363" w:rsidR="00C244F9" w:rsidRDefault="00C244F9" w:rsidP="00C244F9">
    <w:pPr>
      <w:pStyle w:val="Intestazione"/>
      <w:jc w:val="center"/>
    </w:pPr>
    <w:r>
      <w:rPr>
        <w:noProof/>
      </w:rPr>
      <w:drawing>
        <wp:inline distT="0" distB="0" distL="0" distR="0" wp14:anchorId="50839309" wp14:editId="265CBC06">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01AF0B14" w14:textId="59AA8ED8" w:rsidR="008C37D4" w:rsidRPr="002B78A5" w:rsidRDefault="008C37D4" w:rsidP="00C244F9">
    <w:pPr>
      <w:pStyle w:val="Intestazione"/>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34701"/>
    <w:rsid w:val="000B235F"/>
    <w:rsid w:val="000D1377"/>
    <w:rsid w:val="000D60C6"/>
    <w:rsid w:val="001305CF"/>
    <w:rsid w:val="00137250"/>
    <w:rsid w:val="00144BD8"/>
    <w:rsid w:val="0022739C"/>
    <w:rsid w:val="002A2DF7"/>
    <w:rsid w:val="002B78A5"/>
    <w:rsid w:val="002C41B2"/>
    <w:rsid w:val="0031138F"/>
    <w:rsid w:val="003773A3"/>
    <w:rsid w:val="003935EA"/>
    <w:rsid w:val="003C2E00"/>
    <w:rsid w:val="00410906"/>
    <w:rsid w:val="00542E37"/>
    <w:rsid w:val="00605191"/>
    <w:rsid w:val="00656D74"/>
    <w:rsid w:val="006F49E8"/>
    <w:rsid w:val="0081049B"/>
    <w:rsid w:val="00813B39"/>
    <w:rsid w:val="008219D6"/>
    <w:rsid w:val="00846489"/>
    <w:rsid w:val="0089463C"/>
    <w:rsid w:val="008C37D4"/>
    <w:rsid w:val="00962C36"/>
    <w:rsid w:val="009C53C6"/>
    <w:rsid w:val="009F4D75"/>
    <w:rsid w:val="00A604B1"/>
    <w:rsid w:val="00A866E4"/>
    <w:rsid w:val="00B46E7F"/>
    <w:rsid w:val="00B73BD6"/>
    <w:rsid w:val="00BA1CC2"/>
    <w:rsid w:val="00BB3D1D"/>
    <w:rsid w:val="00C244F9"/>
    <w:rsid w:val="00CA5E3D"/>
    <w:rsid w:val="00D06F3A"/>
    <w:rsid w:val="00D326A9"/>
    <w:rsid w:val="00DC3D58"/>
    <w:rsid w:val="00DD1BB9"/>
    <w:rsid w:val="00DF6872"/>
    <w:rsid w:val="00E50272"/>
    <w:rsid w:val="00E507D0"/>
    <w:rsid w:val="00EC2930"/>
    <w:rsid w:val="00F04783"/>
    <w:rsid w:val="00F362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852A5"/>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 w:type="paragraph" w:customStyle="1" w:styleId="xxxxp2">
    <w:name w:val="x_x_x_x_p2"/>
    <w:basedOn w:val="Normale"/>
    <w:rsid w:val="001305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xxxp3">
    <w:name w:val="x_x_x_x_p3"/>
    <w:basedOn w:val="Normale"/>
    <w:rsid w:val="001305C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xxxp4">
    <w:name w:val="x_x_x_x_p4"/>
    <w:basedOn w:val="Normale"/>
    <w:rsid w:val="001305C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720129095">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2022776841">
      <w:bodyDiv w:val="1"/>
      <w:marLeft w:val="0"/>
      <w:marRight w:val="0"/>
      <w:marTop w:val="0"/>
      <w:marBottom w:val="0"/>
      <w:divBdr>
        <w:top w:val="none" w:sz="0" w:space="0" w:color="auto"/>
        <w:left w:val="none" w:sz="0" w:space="0" w:color="auto"/>
        <w:bottom w:val="none" w:sz="0" w:space="0" w:color="auto"/>
        <w:right w:val="none" w:sz="0" w:space="0" w:color="auto"/>
      </w:divBdr>
      <w:divsChild>
        <w:div w:id="788664906">
          <w:marLeft w:val="0"/>
          <w:marRight w:val="0"/>
          <w:marTop w:val="0"/>
          <w:marBottom w:val="0"/>
          <w:divBdr>
            <w:top w:val="none" w:sz="0" w:space="0" w:color="auto"/>
            <w:left w:val="none" w:sz="0" w:space="0" w:color="auto"/>
            <w:bottom w:val="none" w:sz="0" w:space="0" w:color="auto"/>
            <w:right w:val="none" w:sz="0" w:space="0" w:color="auto"/>
          </w:divBdr>
        </w:div>
        <w:div w:id="519315730">
          <w:marLeft w:val="0"/>
          <w:marRight w:val="0"/>
          <w:marTop w:val="0"/>
          <w:marBottom w:val="0"/>
          <w:divBdr>
            <w:top w:val="none" w:sz="0" w:space="0" w:color="auto"/>
            <w:left w:val="none" w:sz="0" w:space="0" w:color="auto"/>
            <w:bottom w:val="none" w:sz="0" w:space="0" w:color="auto"/>
            <w:right w:val="none" w:sz="0" w:space="0" w:color="auto"/>
          </w:divBdr>
        </w:div>
        <w:div w:id="1222524722">
          <w:marLeft w:val="0"/>
          <w:marRight w:val="0"/>
          <w:marTop w:val="0"/>
          <w:marBottom w:val="180"/>
          <w:divBdr>
            <w:top w:val="none" w:sz="0" w:space="0" w:color="auto"/>
            <w:left w:val="none" w:sz="0" w:space="0" w:color="auto"/>
            <w:bottom w:val="none" w:sz="0" w:space="0" w:color="auto"/>
            <w:right w:val="none" w:sz="0" w:space="0" w:color="auto"/>
          </w:divBdr>
        </w:div>
      </w:divsChild>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2878</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6</cp:revision>
  <dcterms:created xsi:type="dcterms:W3CDTF">2021-04-21T12:48:00Z</dcterms:created>
  <dcterms:modified xsi:type="dcterms:W3CDTF">2021-04-21T12:53:00Z</dcterms:modified>
</cp:coreProperties>
</file>