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754A" w14:textId="77777777" w:rsidR="00CB38E1" w:rsidRPr="00136B1E" w:rsidRDefault="00CB38E1" w:rsidP="00933704">
      <w:pPr>
        <w:spacing w:after="0" w:line="240" w:lineRule="auto"/>
        <w:jc w:val="both"/>
        <w:rPr>
          <w:rFonts w:ascii="Arial" w:hAnsi="Arial" w:cs="Arial"/>
          <w:b/>
          <w:bCs/>
          <w:sz w:val="23"/>
          <w:szCs w:val="23"/>
        </w:rPr>
      </w:pPr>
    </w:p>
    <w:p w14:paraId="2DB29CF4" w14:textId="77777777" w:rsidR="008142C7" w:rsidRPr="00136B1E" w:rsidRDefault="008142C7" w:rsidP="00933704">
      <w:pPr>
        <w:spacing w:after="0" w:line="240" w:lineRule="auto"/>
        <w:jc w:val="center"/>
        <w:rPr>
          <w:rFonts w:ascii="Arial" w:hAnsi="Arial" w:cs="Arial"/>
          <w:b/>
          <w:bCs/>
          <w:sz w:val="23"/>
          <w:szCs w:val="23"/>
        </w:rPr>
      </w:pPr>
    </w:p>
    <w:p w14:paraId="7C73B8A8" w14:textId="49BE6A73" w:rsidR="000A523B" w:rsidRPr="00136B1E" w:rsidRDefault="002A4A89" w:rsidP="00933704">
      <w:pPr>
        <w:spacing w:after="0" w:line="240" w:lineRule="auto"/>
        <w:jc w:val="center"/>
        <w:rPr>
          <w:rFonts w:ascii="Arial" w:hAnsi="Arial" w:cs="Arial"/>
          <w:b/>
          <w:bCs/>
          <w:sz w:val="23"/>
          <w:szCs w:val="23"/>
          <w:u w:val="single"/>
        </w:rPr>
      </w:pPr>
      <w:r w:rsidRPr="00136B1E">
        <w:rPr>
          <w:rFonts w:ascii="Arial" w:hAnsi="Arial" w:cs="Arial"/>
          <w:b/>
          <w:bCs/>
          <w:sz w:val="23"/>
          <w:szCs w:val="23"/>
          <w:u w:val="single"/>
        </w:rPr>
        <w:t>Comunicato stampa</w:t>
      </w:r>
    </w:p>
    <w:p w14:paraId="60E8E97C" w14:textId="77777777" w:rsidR="00073821" w:rsidRDefault="00073821" w:rsidP="00933704">
      <w:pPr>
        <w:spacing w:after="0" w:line="240" w:lineRule="auto"/>
        <w:jc w:val="center"/>
        <w:rPr>
          <w:rFonts w:ascii="Arial" w:hAnsi="Arial" w:cs="Arial"/>
          <w:b/>
          <w:bCs/>
          <w:sz w:val="23"/>
          <w:szCs w:val="23"/>
        </w:rPr>
      </w:pPr>
    </w:p>
    <w:p w14:paraId="1A7912FB" w14:textId="77777777" w:rsidR="00C457BD" w:rsidRPr="00136B1E" w:rsidRDefault="00C457BD" w:rsidP="00933704">
      <w:pPr>
        <w:spacing w:after="0" w:line="240" w:lineRule="auto"/>
        <w:jc w:val="center"/>
        <w:rPr>
          <w:rFonts w:ascii="Arial" w:hAnsi="Arial" w:cs="Arial"/>
          <w:b/>
          <w:bCs/>
          <w:sz w:val="23"/>
          <w:szCs w:val="23"/>
        </w:rPr>
      </w:pPr>
    </w:p>
    <w:p w14:paraId="04F99601" w14:textId="585B05DE" w:rsidR="00933704" w:rsidRPr="00136B1E" w:rsidRDefault="00933704" w:rsidP="00933704">
      <w:pPr>
        <w:spacing w:after="0" w:line="240" w:lineRule="auto"/>
        <w:jc w:val="center"/>
        <w:rPr>
          <w:rFonts w:ascii="Arial" w:hAnsi="Arial" w:cs="Arial"/>
          <w:b/>
          <w:bCs/>
          <w:sz w:val="23"/>
          <w:szCs w:val="23"/>
        </w:rPr>
      </w:pPr>
      <w:r w:rsidRPr="00136B1E">
        <w:rPr>
          <w:rFonts w:ascii="Arial" w:hAnsi="Arial" w:cs="Arial"/>
          <w:b/>
          <w:bCs/>
          <w:sz w:val="23"/>
          <w:szCs w:val="23"/>
        </w:rPr>
        <w:t>COMMERCIALISTI: ONLUS, LE ESENZIONI IVA NEL PASSAGGIO AL TERZO SETTORE</w:t>
      </w:r>
    </w:p>
    <w:p w14:paraId="52F00E3D" w14:textId="77777777" w:rsidR="00073821" w:rsidRPr="00136B1E" w:rsidRDefault="00073821" w:rsidP="00933704">
      <w:pPr>
        <w:spacing w:after="0" w:line="240" w:lineRule="auto"/>
        <w:jc w:val="center"/>
        <w:rPr>
          <w:rFonts w:ascii="Arial" w:hAnsi="Arial" w:cs="Arial"/>
          <w:b/>
          <w:bCs/>
          <w:sz w:val="23"/>
          <w:szCs w:val="23"/>
        </w:rPr>
      </w:pPr>
    </w:p>
    <w:p w14:paraId="05913609" w14:textId="77777777" w:rsidR="00933704" w:rsidRPr="00136B1E" w:rsidRDefault="00933704" w:rsidP="00933704">
      <w:pPr>
        <w:spacing w:after="0" w:line="240" w:lineRule="auto"/>
        <w:jc w:val="center"/>
        <w:rPr>
          <w:rFonts w:ascii="Arial" w:hAnsi="Arial" w:cs="Arial"/>
          <w:b/>
          <w:bCs/>
          <w:sz w:val="23"/>
          <w:szCs w:val="23"/>
        </w:rPr>
      </w:pPr>
      <w:r w:rsidRPr="00136B1E">
        <w:rPr>
          <w:rFonts w:ascii="Arial" w:hAnsi="Arial" w:cs="Arial"/>
          <w:b/>
          <w:bCs/>
          <w:sz w:val="23"/>
          <w:szCs w:val="23"/>
        </w:rPr>
        <w:t>Documento di Consiglio e Fondazione nazionale Ricerca.</w:t>
      </w:r>
    </w:p>
    <w:p w14:paraId="6CB6164C" w14:textId="14AAC1BC" w:rsidR="00933704" w:rsidRPr="00136B1E" w:rsidRDefault="00933704" w:rsidP="00933704">
      <w:pPr>
        <w:spacing w:after="0" w:line="240" w:lineRule="auto"/>
        <w:jc w:val="center"/>
        <w:rPr>
          <w:rFonts w:ascii="Arial" w:hAnsi="Arial" w:cs="Arial"/>
          <w:b/>
          <w:bCs/>
          <w:sz w:val="23"/>
          <w:szCs w:val="23"/>
        </w:rPr>
      </w:pPr>
      <w:r w:rsidRPr="00136B1E">
        <w:rPr>
          <w:rFonts w:ascii="Arial" w:hAnsi="Arial" w:cs="Arial"/>
          <w:b/>
          <w:bCs/>
          <w:sz w:val="23"/>
          <w:szCs w:val="23"/>
        </w:rPr>
        <w:t xml:space="preserve">Focus sugli adeguamenti normativi, introdotti dal Codice del Terzo settore, </w:t>
      </w:r>
      <w:r w:rsidR="00C12639">
        <w:rPr>
          <w:rFonts w:ascii="Arial" w:hAnsi="Arial" w:cs="Arial"/>
          <w:b/>
          <w:bCs/>
          <w:sz w:val="23"/>
          <w:szCs w:val="23"/>
        </w:rPr>
        <w:t xml:space="preserve">che riguardano </w:t>
      </w:r>
      <w:r w:rsidRPr="00136B1E">
        <w:rPr>
          <w:rFonts w:ascii="Arial" w:hAnsi="Arial" w:cs="Arial"/>
          <w:b/>
          <w:bCs/>
          <w:sz w:val="23"/>
          <w:szCs w:val="23"/>
        </w:rPr>
        <w:t>le disposizioni di esenzione Iva delle onlus per coordinarle con la prossima abrogazione del regime fiscale loro destinato</w:t>
      </w:r>
    </w:p>
    <w:p w14:paraId="08E0A8FA" w14:textId="77777777" w:rsidR="002A4A89" w:rsidRPr="00136B1E" w:rsidRDefault="002A4A89" w:rsidP="00933704">
      <w:pPr>
        <w:spacing w:after="0" w:line="240" w:lineRule="auto"/>
        <w:jc w:val="both"/>
        <w:rPr>
          <w:rFonts w:ascii="Arial" w:hAnsi="Arial" w:cs="Arial"/>
          <w:sz w:val="23"/>
          <w:szCs w:val="23"/>
        </w:rPr>
      </w:pPr>
    </w:p>
    <w:p w14:paraId="1B35BC91" w14:textId="051993AC" w:rsidR="002A4A89" w:rsidRPr="00136B1E" w:rsidRDefault="002A4A89" w:rsidP="00933704">
      <w:pPr>
        <w:spacing w:after="0" w:line="240" w:lineRule="auto"/>
        <w:jc w:val="both"/>
        <w:rPr>
          <w:rFonts w:ascii="Arial" w:hAnsi="Arial" w:cs="Arial"/>
          <w:b/>
          <w:bCs/>
          <w:sz w:val="23"/>
          <w:szCs w:val="23"/>
        </w:rPr>
      </w:pPr>
    </w:p>
    <w:p w14:paraId="7B1DA2C2" w14:textId="1C90659A" w:rsidR="00933704" w:rsidRPr="00136B1E" w:rsidRDefault="000A523B" w:rsidP="00933704">
      <w:pPr>
        <w:pStyle w:val="NormaleWeb"/>
        <w:shd w:val="clear" w:color="auto" w:fill="FFFFFF"/>
        <w:spacing w:before="0" w:beforeAutospacing="0" w:after="0" w:afterAutospacing="0"/>
        <w:jc w:val="both"/>
        <w:textAlignment w:val="baseline"/>
        <w:rPr>
          <w:rFonts w:ascii="Arial" w:hAnsi="Arial" w:cs="Arial"/>
          <w:sz w:val="23"/>
          <w:szCs w:val="23"/>
        </w:rPr>
      </w:pPr>
      <w:r w:rsidRPr="00136B1E">
        <w:rPr>
          <w:rFonts w:ascii="Arial" w:hAnsi="Arial" w:cs="Arial"/>
          <w:i/>
          <w:iCs/>
          <w:sz w:val="23"/>
          <w:szCs w:val="23"/>
        </w:rPr>
        <w:t xml:space="preserve">Roma, </w:t>
      </w:r>
      <w:r w:rsidR="00933704" w:rsidRPr="00136B1E">
        <w:rPr>
          <w:rFonts w:ascii="Arial" w:hAnsi="Arial" w:cs="Arial"/>
          <w:i/>
          <w:iCs/>
          <w:sz w:val="23"/>
          <w:szCs w:val="23"/>
        </w:rPr>
        <w:t>21</w:t>
      </w:r>
      <w:r w:rsidRPr="00136B1E">
        <w:rPr>
          <w:rFonts w:ascii="Arial" w:hAnsi="Arial" w:cs="Arial"/>
          <w:i/>
          <w:iCs/>
          <w:sz w:val="23"/>
          <w:szCs w:val="23"/>
        </w:rPr>
        <w:t xml:space="preserve"> marzo 2023</w:t>
      </w:r>
      <w:r w:rsidRPr="00136B1E">
        <w:rPr>
          <w:rFonts w:ascii="Arial" w:hAnsi="Arial" w:cs="Arial"/>
          <w:sz w:val="23"/>
          <w:szCs w:val="23"/>
        </w:rPr>
        <w:t xml:space="preserve"> – </w:t>
      </w:r>
      <w:r w:rsidR="00933704" w:rsidRPr="00136B1E">
        <w:rPr>
          <w:rFonts w:ascii="Arial" w:hAnsi="Arial" w:cs="Arial"/>
          <w:sz w:val="23"/>
          <w:szCs w:val="23"/>
        </w:rPr>
        <w:t>“</w:t>
      </w:r>
      <w:r w:rsidR="00933704" w:rsidRPr="00136B1E">
        <w:rPr>
          <w:rStyle w:val="Enfasigrassetto"/>
          <w:rFonts w:ascii="Arial" w:eastAsiaTheme="majorEastAsia" w:hAnsi="Arial" w:cs="Arial"/>
          <w:sz w:val="23"/>
          <w:szCs w:val="23"/>
          <w:bdr w:val="none" w:sz="0" w:space="0" w:color="auto" w:frame="1"/>
        </w:rPr>
        <w:t>Le esenzioni IVA delle Onlus nel passaggio a Enti del Terzo Settore</w:t>
      </w:r>
      <w:r w:rsidR="00933704" w:rsidRPr="00136B1E">
        <w:rPr>
          <w:rFonts w:ascii="Arial" w:hAnsi="Arial" w:cs="Arial"/>
          <w:sz w:val="23"/>
          <w:szCs w:val="23"/>
        </w:rPr>
        <w:t xml:space="preserve">” è il titolo del documento pubblicato oggi dal Consiglio nazionale e dalla Fondazione nazionale di Ricerca dei commercialisti, </w:t>
      </w:r>
      <w:r w:rsidR="00D81D0F">
        <w:rPr>
          <w:rFonts w:ascii="Arial" w:hAnsi="Arial" w:cs="Arial"/>
          <w:sz w:val="23"/>
          <w:szCs w:val="23"/>
        </w:rPr>
        <w:t>curato da Viviana Capozzi</w:t>
      </w:r>
      <w:r w:rsidR="00933704" w:rsidRPr="00136B1E">
        <w:rPr>
          <w:rFonts w:ascii="Arial" w:hAnsi="Arial" w:cs="Arial"/>
          <w:sz w:val="23"/>
          <w:szCs w:val="23"/>
        </w:rPr>
        <w:t xml:space="preserve"> nell’ambito dell’area di delega dei consiglieri </w:t>
      </w:r>
      <w:r w:rsidR="00933704" w:rsidRPr="00136B1E">
        <w:rPr>
          <w:rFonts w:ascii="Arial" w:hAnsi="Arial" w:cs="Arial"/>
          <w:b/>
          <w:bCs/>
          <w:sz w:val="23"/>
          <w:szCs w:val="23"/>
        </w:rPr>
        <w:t>Michele de Tavonatti</w:t>
      </w:r>
      <w:r w:rsidR="00933704" w:rsidRPr="00136B1E">
        <w:rPr>
          <w:rFonts w:ascii="Arial" w:hAnsi="Arial" w:cs="Arial"/>
          <w:sz w:val="23"/>
          <w:szCs w:val="23"/>
        </w:rPr>
        <w:t xml:space="preserve"> (vicepresidente CNDCEC) e </w:t>
      </w:r>
      <w:r w:rsidR="00933704" w:rsidRPr="00136B1E">
        <w:rPr>
          <w:rFonts w:ascii="Arial" w:hAnsi="Arial" w:cs="Arial"/>
          <w:b/>
          <w:bCs/>
          <w:sz w:val="23"/>
          <w:szCs w:val="23"/>
        </w:rPr>
        <w:t>David Moro</w:t>
      </w:r>
      <w:r w:rsidR="00933704" w:rsidRPr="00136B1E">
        <w:rPr>
          <w:rFonts w:ascii="Arial" w:hAnsi="Arial" w:cs="Arial"/>
          <w:sz w:val="23"/>
          <w:szCs w:val="23"/>
        </w:rPr>
        <w:t>, che focalizza l’attenzione sugli </w:t>
      </w:r>
      <w:r w:rsidR="00933704" w:rsidRPr="00136B1E">
        <w:rPr>
          <w:rStyle w:val="Enfasigrassetto"/>
          <w:rFonts w:ascii="Arial" w:eastAsiaTheme="majorEastAsia" w:hAnsi="Arial" w:cs="Arial"/>
          <w:sz w:val="23"/>
          <w:szCs w:val="23"/>
          <w:bdr w:val="none" w:sz="0" w:space="0" w:color="auto" w:frame="1"/>
        </w:rPr>
        <w:t>adeguamenti normativi</w:t>
      </w:r>
      <w:r w:rsidR="00933704" w:rsidRPr="00136B1E">
        <w:rPr>
          <w:rFonts w:ascii="Arial" w:hAnsi="Arial" w:cs="Arial"/>
          <w:sz w:val="23"/>
          <w:szCs w:val="23"/>
        </w:rPr>
        <w:t>, introdotti dal Codice del Terzo settore,</w:t>
      </w:r>
      <w:r w:rsidR="00933704" w:rsidRPr="00136B1E">
        <w:rPr>
          <w:rStyle w:val="Enfasigrassetto"/>
          <w:rFonts w:ascii="Arial" w:eastAsiaTheme="majorEastAsia" w:hAnsi="Arial" w:cs="Arial"/>
          <w:sz w:val="23"/>
          <w:szCs w:val="23"/>
          <w:bdr w:val="none" w:sz="0" w:space="0" w:color="auto" w:frame="1"/>
        </w:rPr>
        <w:t> </w:t>
      </w:r>
      <w:r w:rsidR="00C12639">
        <w:rPr>
          <w:rStyle w:val="Enfasigrassetto"/>
          <w:rFonts w:ascii="Arial" w:eastAsiaTheme="majorEastAsia" w:hAnsi="Arial" w:cs="Arial"/>
          <w:sz w:val="23"/>
          <w:szCs w:val="23"/>
          <w:bdr w:val="none" w:sz="0" w:space="0" w:color="auto" w:frame="1"/>
        </w:rPr>
        <w:t xml:space="preserve">che riguardano </w:t>
      </w:r>
      <w:r w:rsidR="00933704" w:rsidRPr="00136B1E">
        <w:rPr>
          <w:rStyle w:val="Enfasigrassetto"/>
          <w:rFonts w:ascii="Arial" w:eastAsiaTheme="majorEastAsia" w:hAnsi="Arial" w:cs="Arial"/>
          <w:sz w:val="23"/>
          <w:szCs w:val="23"/>
          <w:bdr w:val="none" w:sz="0" w:space="0" w:color="auto" w:frame="1"/>
        </w:rPr>
        <w:t>le disposizioni di esenzione Iva che interessano le Onlus</w:t>
      </w:r>
      <w:r w:rsidR="00933704" w:rsidRPr="00136B1E">
        <w:rPr>
          <w:rFonts w:ascii="Arial" w:hAnsi="Arial" w:cs="Arial"/>
          <w:sz w:val="23"/>
          <w:szCs w:val="23"/>
        </w:rPr>
        <w:t> al fine di coordinarle con la prossima abrogazione del regime fiscale loro destinato.</w:t>
      </w:r>
    </w:p>
    <w:p w14:paraId="193B289B" w14:textId="77777777" w:rsidR="00933704" w:rsidRPr="00136B1E" w:rsidRDefault="00933704" w:rsidP="00933704">
      <w:pPr>
        <w:pStyle w:val="NormaleWeb"/>
        <w:shd w:val="clear" w:color="auto" w:fill="FFFFFF"/>
        <w:spacing w:before="0" w:beforeAutospacing="0" w:after="0" w:afterAutospacing="0"/>
        <w:jc w:val="both"/>
        <w:textAlignment w:val="baseline"/>
        <w:rPr>
          <w:rFonts w:ascii="Arial" w:hAnsi="Arial" w:cs="Arial"/>
          <w:sz w:val="23"/>
          <w:szCs w:val="23"/>
        </w:rPr>
      </w:pPr>
    </w:p>
    <w:p w14:paraId="3AF9D959" w14:textId="77777777" w:rsidR="00933704" w:rsidRPr="00136B1E" w:rsidRDefault="00933704" w:rsidP="00933704">
      <w:pPr>
        <w:pStyle w:val="NormaleWeb"/>
        <w:shd w:val="clear" w:color="auto" w:fill="FFFFFF"/>
        <w:spacing w:before="0" w:beforeAutospacing="0" w:after="0" w:afterAutospacing="0"/>
        <w:jc w:val="both"/>
        <w:textAlignment w:val="baseline"/>
        <w:rPr>
          <w:rFonts w:ascii="Arial" w:hAnsi="Arial" w:cs="Arial"/>
          <w:sz w:val="23"/>
          <w:szCs w:val="23"/>
        </w:rPr>
      </w:pPr>
      <w:r w:rsidRPr="00136B1E">
        <w:rPr>
          <w:rFonts w:ascii="Arial" w:hAnsi="Arial" w:cs="Arial"/>
          <w:sz w:val="23"/>
          <w:szCs w:val="23"/>
        </w:rPr>
        <w:t>Tali modifiche normative, secondo un’interpretazione letterale che emerge dai documenti della prassi amministrativa, vincolerebbero la </w:t>
      </w:r>
      <w:r w:rsidRPr="00136B1E">
        <w:rPr>
          <w:rStyle w:val="Enfasigrassetto"/>
          <w:rFonts w:ascii="Arial" w:eastAsiaTheme="majorEastAsia" w:hAnsi="Arial" w:cs="Arial"/>
          <w:sz w:val="23"/>
          <w:szCs w:val="23"/>
          <w:bdr w:val="none" w:sz="0" w:space="0" w:color="auto" w:frame="1"/>
        </w:rPr>
        <w:t>fruibilità dei regimi di esenzione IVA</w:t>
      </w:r>
      <w:r w:rsidRPr="00136B1E">
        <w:rPr>
          <w:rFonts w:ascii="Arial" w:hAnsi="Arial" w:cs="Arial"/>
          <w:sz w:val="23"/>
          <w:szCs w:val="23"/>
        </w:rPr>
        <w:t> oggi destinati alle Onlus </w:t>
      </w:r>
      <w:r w:rsidRPr="00136B1E">
        <w:rPr>
          <w:rStyle w:val="Enfasigrassetto"/>
          <w:rFonts w:ascii="Arial" w:eastAsiaTheme="majorEastAsia" w:hAnsi="Arial" w:cs="Arial"/>
          <w:sz w:val="23"/>
          <w:szCs w:val="23"/>
          <w:bdr w:val="none" w:sz="0" w:space="0" w:color="auto" w:frame="1"/>
        </w:rPr>
        <w:t>all’acquisizione e conservazione da parte di detti soggetti della natura di ETS</w:t>
      </w:r>
      <w:r w:rsidRPr="00136B1E">
        <w:rPr>
          <w:rFonts w:ascii="Arial" w:hAnsi="Arial" w:cs="Arial"/>
          <w:sz w:val="23"/>
          <w:szCs w:val="23"/>
        </w:rPr>
        <w:t> (Ente del Terzo Settore) di natura non commerciale.</w:t>
      </w:r>
    </w:p>
    <w:p w14:paraId="1F917B01" w14:textId="77777777" w:rsidR="00933704" w:rsidRPr="00136B1E" w:rsidRDefault="00933704" w:rsidP="00933704">
      <w:pPr>
        <w:pStyle w:val="NormaleWeb"/>
        <w:shd w:val="clear" w:color="auto" w:fill="FFFFFF"/>
        <w:spacing w:before="0" w:beforeAutospacing="0" w:after="0" w:afterAutospacing="0"/>
        <w:jc w:val="both"/>
        <w:textAlignment w:val="baseline"/>
        <w:rPr>
          <w:rFonts w:ascii="Arial" w:hAnsi="Arial" w:cs="Arial"/>
          <w:sz w:val="23"/>
          <w:szCs w:val="23"/>
        </w:rPr>
      </w:pPr>
    </w:p>
    <w:p w14:paraId="1E140254" w14:textId="77777777" w:rsidR="00933704" w:rsidRPr="00136B1E" w:rsidRDefault="00933704" w:rsidP="00933704">
      <w:pPr>
        <w:pStyle w:val="NormaleWeb"/>
        <w:shd w:val="clear" w:color="auto" w:fill="FFFFFF"/>
        <w:spacing w:before="0" w:beforeAutospacing="0" w:after="0" w:afterAutospacing="0"/>
        <w:jc w:val="both"/>
        <w:textAlignment w:val="baseline"/>
        <w:rPr>
          <w:rFonts w:ascii="Arial" w:hAnsi="Arial" w:cs="Arial"/>
          <w:sz w:val="23"/>
          <w:szCs w:val="23"/>
        </w:rPr>
      </w:pPr>
      <w:r w:rsidRPr="00136B1E">
        <w:rPr>
          <w:rFonts w:ascii="Arial" w:hAnsi="Arial" w:cs="Arial"/>
          <w:sz w:val="23"/>
          <w:szCs w:val="23"/>
        </w:rPr>
        <w:t>In linea con tale orientamento interpretativo, pertanto, tali regimi di esenzione </w:t>
      </w:r>
      <w:r w:rsidRPr="00136B1E">
        <w:rPr>
          <w:rStyle w:val="Enfasigrassetto"/>
          <w:rFonts w:ascii="Arial" w:eastAsiaTheme="majorEastAsia" w:hAnsi="Arial" w:cs="Arial"/>
          <w:sz w:val="23"/>
          <w:szCs w:val="23"/>
          <w:bdr w:val="none" w:sz="0" w:space="0" w:color="auto" w:frame="1"/>
        </w:rPr>
        <w:t>verrebbero meno per tutte quelle Onlus che dovessero scegliere di iscriversi al RUNTS</w:t>
      </w:r>
      <w:r w:rsidRPr="00136B1E">
        <w:rPr>
          <w:rFonts w:ascii="Arial" w:hAnsi="Arial" w:cs="Arial"/>
          <w:sz w:val="23"/>
          <w:szCs w:val="23"/>
        </w:rPr>
        <w:t> (Registro Unico Nazionale del Terzo Settore) come imprese sociali o altri ETS di natura commerciale. La questione merita dunque particolare attenzione nella scelta che i soggetti oggi iscritti all’Anagrafe delle ONLUS dovranno effettuare se iscriversi (o meno) al Registro Unico Nazionale del Terzo Settore e, in caso affermativo, con quale tipologia di ETS.</w:t>
      </w:r>
    </w:p>
    <w:p w14:paraId="513E01ED" w14:textId="77777777" w:rsidR="00933704" w:rsidRPr="00136B1E" w:rsidRDefault="00933704" w:rsidP="00933704">
      <w:pPr>
        <w:pStyle w:val="NormaleWeb"/>
        <w:shd w:val="clear" w:color="auto" w:fill="FFFFFF"/>
        <w:spacing w:before="0" w:beforeAutospacing="0" w:after="0" w:afterAutospacing="0"/>
        <w:jc w:val="both"/>
        <w:textAlignment w:val="baseline"/>
        <w:rPr>
          <w:rFonts w:ascii="Arial" w:hAnsi="Arial" w:cs="Arial"/>
          <w:sz w:val="23"/>
          <w:szCs w:val="23"/>
        </w:rPr>
      </w:pPr>
    </w:p>
    <w:p w14:paraId="00A9FF93" w14:textId="77777777" w:rsidR="00933704" w:rsidRPr="00136B1E" w:rsidRDefault="00933704" w:rsidP="00933704">
      <w:pPr>
        <w:pStyle w:val="NormaleWeb"/>
        <w:shd w:val="clear" w:color="auto" w:fill="FFFFFF"/>
        <w:spacing w:before="0" w:beforeAutospacing="0" w:after="0" w:afterAutospacing="0"/>
        <w:jc w:val="both"/>
        <w:textAlignment w:val="baseline"/>
        <w:rPr>
          <w:rFonts w:ascii="Arial" w:hAnsi="Arial" w:cs="Arial"/>
          <w:sz w:val="23"/>
          <w:szCs w:val="23"/>
        </w:rPr>
      </w:pPr>
      <w:r w:rsidRPr="00136B1E">
        <w:rPr>
          <w:rFonts w:ascii="Arial" w:hAnsi="Arial" w:cs="Arial"/>
          <w:sz w:val="23"/>
          <w:szCs w:val="23"/>
        </w:rPr>
        <w:t>Inoltre, importanti criticità potrebbero emergere anche con riferimento alle </w:t>
      </w:r>
      <w:r w:rsidRPr="00136B1E">
        <w:rPr>
          <w:rStyle w:val="Enfasigrassetto"/>
          <w:rFonts w:ascii="Arial" w:eastAsiaTheme="majorEastAsia" w:hAnsi="Arial" w:cs="Arial"/>
          <w:sz w:val="23"/>
          <w:szCs w:val="23"/>
          <w:bdr w:val="none" w:sz="0" w:space="0" w:color="auto" w:frame="1"/>
        </w:rPr>
        <w:t>Onlus che sceglieranno di iscriversi come ETS di natura non commerciale</w:t>
      </w:r>
      <w:r w:rsidRPr="00136B1E">
        <w:rPr>
          <w:rFonts w:ascii="Arial" w:hAnsi="Arial" w:cs="Arial"/>
          <w:sz w:val="23"/>
          <w:szCs w:val="23"/>
        </w:rPr>
        <w:t>. Infatti, anche tali ultimi soggetti dovranno effettuare una valutazione prospettica riguardo la propria qualificazione fiscale poiché l’eventuale cambiamento di natura in corso d’anno comporterebbe un’errata applicazione della disciplina Iva sulle operazioni già svolte dall’ETS.</w:t>
      </w:r>
    </w:p>
    <w:p w14:paraId="7A60CAD2" w14:textId="77777777" w:rsidR="00933704" w:rsidRPr="00136B1E" w:rsidRDefault="00933704" w:rsidP="00933704">
      <w:pPr>
        <w:pStyle w:val="NormaleWeb"/>
        <w:shd w:val="clear" w:color="auto" w:fill="FFFFFF"/>
        <w:spacing w:before="0" w:beforeAutospacing="0" w:after="0" w:afterAutospacing="0"/>
        <w:jc w:val="both"/>
        <w:textAlignment w:val="baseline"/>
        <w:rPr>
          <w:rFonts w:ascii="Arial" w:hAnsi="Arial" w:cs="Arial"/>
          <w:sz w:val="23"/>
          <w:szCs w:val="23"/>
        </w:rPr>
      </w:pPr>
    </w:p>
    <w:p w14:paraId="14BE6094" w14:textId="77777777" w:rsidR="00933704" w:rsidRPr="00136B1E" w:rsidRDefault="00933704" w:rsidP="00933704">
      <w:pPr>
        <w:pStyle w:val="NormaleWeb"/>
        <w:shd w:val="clear" w:color="auto" w:fill="FFFFFF"/>
        <w:spacing w:before="0" w:beforeAutospacing="0" w:after="0" w:afterAutospacing="0"/>
        <w:jc w:val="both"/>
        <w:textAlignment w:val="baseline"/>
        <w:rPr>
          <w:rFonts w:ascii="Arial" w:hAnsi="Arial" w:cs="Arial"/>
          <w:sz w:val="23"/>
          <w:szCs w:val="23"/>
        </w:rPr>
      </w:pPr>
      <w:r w:rsidRPr="00136B1E">
        <w:rPr>
          <w:rFonts w:ascii="Arial" w:hAnsi="Arial" w:cs="Arial"/>
          <w:sz w:val="23"/>
          <w:szCs w:val="23"/>
        </w:rPr>
        <w:t>Il documento dei commercialisti svolge quindi un approfondimento al fine sia di </w:t>
      </w:r>
      <w:r w:rsidRPr="00136B1E">
        <w:rPr>
          <w:rStyle w:val="Enfasigrassetto"/>
          <w:rFonts w:ascii="Arial" w:eastAsiaTheme="majorEastAsia" w:hAnsi="Arial" w:cs="Arial"/>
          <w:sz w:val="23"/>
          <w:szCs w:val="23"/>
          <w:bdr w:val="none" w:sz="0" w:space="0" w:color="auto" w:frame="1"/>
        </w:rPr>
        <w:t>verificare se l’orientamento manifestato dalla prassi è in linea con la ratio sottesa alla disciplina normativa di riferimento</w:t>
      </w:r>
      <w:r w:rsidRPr="00136B1E">
        <w:rPr>
          <w:rFonts w:ascii="Arial" w:hAnsi="Arial" w:cs="Arial"/>
          <w:sz w:val="23"/>
          <w:szCs w:val="23"/>
        </w:rPr>
        <w:t>, sia di </w:t>
      </w:r>
      <w:r w:rsidRPr="00136B1E">
        <w:rPr>
          <w:rStyle w:val="Enfasigrassetto"/>
          <w:rFonts w:ascii="Arial" w:eastAsiaTheme="majorEastAsia" w:hAnsi="Arial" w:cs="Arial"/>
          <w:sz w:val="23"/>
          <w:szCs w:val="23"/>
          <w:bdr w:val="none" w:sz="0" w:space="0" w:color="auto" w:frame="1"/>
        </w:rPr>
        <w:t>valutare l’opportunità di un ulteriore intervento legislativo</w:t>
      </w:r>
      <w:r w:rsidRPr="00136B1E">
        <w:rPr>
          <w:rFonts w:ascii="Arial" w:hAnsi="Arial" w:cs="Arial"/>
          <w:sz w:val="23"/>
          <w:szCs w:val="23"/>
        </w:rPr>
        <w:t> finalizzato a superare eventuali dubbi interpretativi e difficoltà operative. Intervento che, peraltro, si porrebbe in linea con i principi e criteri direttivi enunciati, con riferimento alla disciplina del Terzo settore, dalla legge delega per la riforma fiscale.</w:t>
      </w:r>
    </w:p>
    <w:p w14:paraId="7AD7C8C5" w14:textId="668BCDC1" w:rsidR="007E6C94" w:rsidRPr="008142C7" w:rsidRDefault="007E6C94" w:rsidP="00933704">
      <w:pPr>
        <w:pStyle w:val="NormaleWeb"/>
        <w:shd w:val="clear" w:color="auto" w:fill="FFFFFF"/>
        <w:spacing w:before="0" w:beforeAutospacing="0" w:after="0" w:afterAutospacing="0"/>
        <w:jc w:val="both"/>
        <w:textAlignment w:val="baseline"/>
        <w:rPr>
          <w:rFonts w:ascii="Arial" w:hAnsi="Arial" w:cs="Arial"/>
        </w:rPr>
      </w:pPr>
    </w:p>
    <w:sectPr w:rsidR="007E6C94" w:rsidRPr="008142C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875B" w14:textId="77777777" w:rsidR="00997095" w:rsidRDefault="00997095" w:rsidP="00CB38E1">
      <w:pPr>
        <w:spacing w:after="0" w:line="240" w:lineRule="auto"/>
      </w:pPr>
      <w:r>
        <w:separator/>
      </w:r>
    </w:p>
  </w:endnote>
  <w:endnote w:type="continuationSeparator" w:id="0">
    <w:p w14:paraId="1AF85544" w14:textId="77777777" w:rsidR="00997095" w:rsidRDefault="00997095" w:rsidP="00CB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A5B9" w14:textId="77777777" w:rsidR="00997095" w:rsidRDefault="00997095" w:rsidP="00CB38E1">
      <w:pPr>
        <w:spacing w:after="0" w:line="240" w:lineRule="auto"/>
      </w:pPr>
      <w:r>
        <w:separator/>
      </w:r>
    </w:p>
  </w:footnote>
  <w:footnote w:type="continuationSeparator" w:id="0">
    <w:p w14:paraId="5CDF0307" w14:textId="77777777" w:rsidR="00997095" w:rsidRDefault="00997095" w:rsidP="00CB3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CE67" w14:textId="6188A229" w:rsidR="00CB38E1" w:rsidRDefault="00CB38E1" w:rsidP="00CB38E1">
    <w:pPr>
      <w:pStyle w:val="Intestazione"/>
      <w:jc w:val="center"/>
    </w:pPr>
    <w:r>
      <w:rPr>
        <w:noProof/>
      </w:rPr>
      <w:drawing>
        <wp:inline distT="0" distB="0" distL="0" distR="0" wp14:anchorId="51C1F7C1" wp14:editId="55C9B7CB">
          <wp:extent cx="2295525" cy="779622"/>
          <wp:effectExtent l="0" t="0" r="0" b="1905"/>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2493" cy="781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D65AD"/>
    <w:multiLevelType w:val="hybridMultilevel"/>
    <w:tmpl w:val="E23CCBFE"/>
    <w:lvl w:ilvl="0" w:tplc="822AF43E">
      <w:start w:val="1"/>
      <w:numFmt w:val="bullet"/>
      <w:lvlText w:val="•"/>
      <w:lvlJc w:val="left"/>
      <w:pPr>
        <w:tabs>
          <w:tab w:val="num" w:pos="720"/>
        </w:tabs>
        <w:ind w:left="720" w:hanging="360"/>
      </w:pPr>
      <w:rPr>
        <w:rFonts w:ascii="Arial" w:hAnsi="Arial" w:hint="default"/>
      </w:rPr>
    </w:lvl>
    <w:lvl w:ilvl="1" w:tplc="721CFA62" w:tentative="1">
      <w:start w:val="1"/>
      <w:numFmt w:val="bullet"/>
      <w:lvlText w:val="•"/>
      <w:lvlJc w:val="left"/>
      <w:pPr>
        <w:tabs>
          <w:tab w:val="num" w:pos="1440"/>
        </w:tabs>
        <w:ind w:left="1440" w:hanging="360"/>
      </w:pPr>
      <w:rPr>
        <w:rFonts w:ascii="Arial" w:hAnsi="Arial" w:hint="default"/>
      </w:rPr>
    </w:lvl>
    <w:lvl w:ilvl="2" w:tplc="076E7B26" w:tentative="1">
      <w:start w:val="1"/>
      <w:numFmt w:val="bullet"/>
      <w:lvlText w:val="•"/>
      <w:lvlJc w:val="left"/>
      <w:pPr>
        <w:tabs>
          <w:tab w:val="num" w:pos="2160"/>
        </w:tabs>
        <w:ind w:left="2160" w:hanging="360"/>
      </w:pPr>
      <w:rPr>
        <w:rFonts w:ascii="Arial" w:hAnsi="Arial" w:hint="default"/>
      </w:rPr>
    </w:lvl>
    <w:lvl w:ilvl="3" w:tplc="FB50F190" w:tentative="1">
      <w:start w:val="1"/>
      <w:numFmt w:val="bullet"/>
      <w:lvlText w:val="•"/>
      <w:lvlJc w:val="left"/>
      <w:pPr>
        <w:tabs>
          <w:tab w:val="num" w:pos="2880"/>
        </w:tabs>
        <w:ind w:left="2880" w:hanging="360"/>
      </w:pPr>
      <w:rPr>
        <w:rFonts w:ascii="Arial" w:hAnsi="Arial" w:hint="default"/>
      </w:rPr>
    </w:lvl>
    <w:lvl w:ilvl="4" w:tplc="CC08D910" w:tentative="1">
      <w:start w:val="1"/>
      <w:numFmt w:val="bullet"/>
      <w:lvlText w:val="•"/>
      <w:lvlJc w:val="left"/>
      <w:pPr>
        <w:tabs>
          <w:tab w:val="num" w:pos="3600"/>
        </w:tabs>
        <w:ind w:left="3600" w:hanging="360"/>
      </w:pPr>
      <w:rPr>
        <w:rFonts w:ascii="Arial" w:hAnsi="Arial" w:hint="default"/>
      </w:rPr>
    </w:lvl>
    <w:lvl w:ilvl="5" w:tplc="C0B46908" w:tentative="1">
      <w:start w:val="1"/>
      <w:numFmt w:val="bullet"/>
      <w:lvlText w:val="•"/>
      <w:lvlJc w:val="left"/>
      <w:pPr>
        <w:tabs>
          <w:tab w:val="num" w:pos="4320"/>
        </w:tabs>
        <w:ind w:left="4320" w:hanging="360"/>
      </w:pPr>
      <w:rPr>
        <w:rFonts w:ascii="Arial" w:hAnsi="Arial" w:hint="default"/>
      </w:rPr>
    </w:lvl>
    <w:lvl w:ilvl="6" w:tplc="C0E839A0" w:tentative="1">
      <w:start w:val="1"/>
      <w:numFmt w:val="bullet"/>
      <w:lvlText w:val="•"/>
      <w:lvlJc w:val="left"/>
      <w:pPr>
        <w:tabs>
          <w:tab w:val="num" w:pos="5040"/>
        </w:tabs>
        <w:ind w:left="5040" w:hanging="360"/>
      </w:pPr>
      <w:rPr>
        <w:rFonts w:ascii="Arial" w:hAnsi="Arial" w:hint="default"/>
      </w:rPr>
    </w:lvl>
    <w:lvl w:ilvl="7" w:tplc="332A4790" w:tentative="1">
      <w:start w:val="1"/>
      <w:numFmt w:val="bullet"/>
      <w:lvlText w:val="•"/>
      <w:lvlJc w:val="left"/>
      <w:pPr>
        <w:tabs>
          <w:tab w:val="num" w:pos="5760"/>
        </w:tabs>
        <w:ind w:left="5760" w:hanging="360"/>
      </w:pPr>
      <w:rPr>
        <w:rFonts w:ascii="Arial" w:hAnsi="Arial" w:hint="default"/>
      </w:rPr>
    </w:lvl>
    <w:lvl w:ilvl="8" w:tplc="BE9620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6846588"/>
    <w:multiLevelType w:val="hybridMultilevel"/>
    <w:tmpl w:val="C8B2CCD6"/>
    <w:lvl w:ilvl="0" w:tplc="D256B0D0">
      <w:start w:val="1"/>
      <w:numFmt w:val="bullet"/>
      <w:lvlText w:val="•"/>
      <w:lvlJc w:val="left"/>
      <w:pPr>
        <w:tabs>
          <w:tab w:val="num" w:pos="720"/>
        </w:tabs>
        <w:ind w:left="720" w:hanging="360"/>
      </w:pPr>
      <w:rPr>
        <w:rFonts w:ascii="Arial" w:hAnsi="Arial" w:hint="default"/>
      </w:rPr>
    </w:lvl>
    <w:lvl w:ilvl="1" w:tplc="9446EC1E" w:tentative="1">
      <w:start w:val="1"/>
      <w:numFmt w:val="bullet"/>
      <w:lvlText w:val="•"/>
      <w:lvlJc w:val="left"/>
      <w:pPr>
        <w:tabs>
          <w:tab w:val="num" w:pos="1440"/>
        </w:tabs>
        <w:ind w:left="1440" w:hanging="360"/>
      </w:pPr>
      <w:rPr>
        <w:rFonts w:ascii="Arial" w:hAnsi="Arial" w:hint="default"/>
      </w:rPr>
    </w:lvl>
    <w:lvl w:ilvl="2" w:tplc="EFE2758A" w:tentative="1">
      <w:start w:val="1"/>
      <w:numFmt w:val="bullet"/>
      <w:lvlText w:val="•"/>
      <w:lvlJc w:val="left"/>
      <w:pPr>
        <w:tabs>
          <w:tab w:val="num" w:pos="2160"/>
        </w:tabs>
        <w:ind w:left="2160" w:hanging="360"/>
      </w:pPr>
      <w:rPr>
        <w:rFonts w:ascii="Arial" w:hAnsi="Arial" w:hint="default"/>
      </w:rPr>
    </w:lvl>
    <w:lvl w:ilvl="3" w:tplc="A066F558" w:tentative="1">
      <w:start w:val="1"/>
      <w:numFmt w:val="bullet"/>
      <w:lvlText w:val="•"/>
      <w:lvlJc w:val="left"/>
      <w:pPr>
        <w:tabs>
          <w:tab w:val="num" w:pos="2880"/>
        </w:tabs>
        <w:ind w:left="2880" w:hanging="360"/>
      </w:pPr>
      <w:rPr>
        <w:rFonts w:ascii="Arial" w:hAnsi="Arial" w:hint="default"/>
      </w:rPr>
    </w:lvl>
    <w:lvl w:ilvl="4" w:tplc="B0D21CDA" w:tentative="1">
      <w:start w:val="1"/>
      <w:numFmt w:val="bullet"/>
      <w:lvlText w:val="•"/>
      <w:lvlJc w:val="left"/>
      <w:pPr>
        <w:tabs>
          <w:tab w:val="num" w:pos="3600"/>
        </w:tabs>
        <w:ind w:left="3600" w:hanging="360"/>
      </w:pPr>
      <w:rPr>
        <w:rFonts w:ascii="Arial" w:hAnsi="Arial" w:hint="default"/>
      </w:rPr>
    </w:lvl>
    <w:lvl w:ilvl="5" w:tplc="29E0E898" w:tentative="1">
      <w:start w:val="1"/>
      <w:numFmt w:val="bullet"/>
      <w:lvlText w:val="•"/>
      <w:lvlJc w:val="left"/>
      <w:pPr>
        <w:tabs>
          <w:tab w:val="num" w:pos="4320"/>
        </w:tabs>
        <w:ind w:left="4320" w:hanging="360"/>
      </w:pPr>
      <w:rPr>
        <w:rFonts w:ascii="Arial" w:hAnsi="Arial" w:hint="default"/>
      </w:rPr>
    </w:lvl>
    <w:lvl w:ilvl="6" w:tplc="C750E9EA" w:tentative="1">
      <w:start w:val="1"/>
      <w:numFmt w:val="bullet"/>
      <w:lvlText w:val="•"/>
      <w:lvlJc w:val="left"/>
      <w:pPr>
        <w:tabs>
          <w:tab w:val="num" w:pos="5040"/>
        </w:tabs>
        <w:ind w:left="5040" w:hanging="360"/>
      </w:pPr>
      <w:rPr>
        <w:rFonts w:ascii="Arial" w:hAnsi="Arial" w:hint="default"/>
      </w:rPr>
    </w:lvl>
    <w:lvl w:ilvl="7" w:tplc="4A4EF3E2" w:tentative="1">
      <w:start w:val="1"/>
      <w:numFmt w:val="bullet"/>
      <w:lvlText w:val="•"/>
      <w:lvlJc w:val="left"/>
      <w:pPr>
        <w:tabs>
          <w:tab w:val="num" w:pos="5760"/>
        </w:tabs>
        <w:ind w:left="5760" w:hanging="360"/>
      </w:pPr>
      <w:rPr>
        <w:rFonts w:ascii="Arial" w:hAnsi="Arial" w:hint="default"/>
      </w:rPr>
    </w:lvl>
    <w:lvl w:ilvl="8" w:tplc="EFAE905E" w:tentative="1">
      <w:start w:val="1"/>
      <w:numFmt w:val="bullet"/>
      <w:lvlText w:val="•"/>
      <w:lvlJc w:val="left"/>
      <w:pPr>
        <w:tabs>
          <w:tab w:val="num" w:pos="6480"/>
        </w:tabs>
        <w:ind w:left="6480" w:hanging="360"/>
      </w:pPr>
      <w:rPr>
        <w:rFonts w:ascii="Arial" w:hAnsi="Arial" w:hint="default"/>
      </w:rPr>
    </w:lvl>
  </w:abstractNum>
  <w:num w:numId="1" w16cid:durableId="2066902518">
    <w:abstractNumId w:val="0"/>
  </w:num>
  <w:num w:numId="2" w16cid:durableId="168828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16"/>
    <w:rsid w:val="00073821"/>
    <w:rsid w:val="00095ECA"/>
    <w:rsid w:val="000A523B"/>
    <w:rsid w:val="00136B1E"/>
    <w:rsid w:val="0014238F"/>
    <w:rsid w:val="00271B16"/>
    <w:rsid w:val="002A4A89"/>
    <w:rsid w:val="002E4A53"/>
    <w:rsid w:val="002F1208"/>
    <w:rsid w:val="0032637A"/>
    <w:rsid w:val="0033672F"/>
    <w:rsid w:val="00361459"/>
    <w:rsid w:val="00374465"/>
    <w:rsid w:val="00385DB8"/>
    <w:rsid w:val="004657EE"/>
    <w:rsid w:val="00494595"/>
    <w:rsid w:val="00504E12"/>
    <w:rsid w:val="00713803"/>
    <w:rsid w:val="0074168F"/>
    <w:rsid w:val="0078738A"/>
    <w:rsid w:val="007E6C94"/>
    <w:rsid w:val="008142C7"/>
    <w:rsid w:val="0084362D"/>
    <w:rsid w:val="00853B1C"/>
    <w:rsid w:val="008E45F7"/>
    <w:rsid w:val="008E77F9"/>
    <w:rsid w:val="00930B1B"/>
    <w:rsid w:val="00933704"/>
    <w:rsid w:val="00980CF4"/>
    <w:rsid w:val="00997095"/>
    <w:rsid w:val="00A73436"/>
    <w:rsid w:val="00BF3419"/>
    <w:rsid w:val="00C12639"/>
    <w:rsid w:val="00C457BD"/>
    <w:rsid w:val="00CB38E1"/>
    <w:rsid w:val="00D24E07"/>
    <w:rsid w:val="00D649E2"/>
    <w:rsid w:val="00D81D0F"/>
    <w:rsid w:val="00DB6225"/>
    <w:rsid w:val="00DF5C8B"/>
    <w:rsid w:val="00E120E1"/>
    <w:rsid w:val="00E604B1"/>
    <w:rsid w:val="00FB24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384D"/>
  <w15:chartTrackingRefBased/>
  <w15:docId w15:val="{95B8734E-E982-4829-A802-CE4F913D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71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71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71B1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71B1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71B1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71B1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71B1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71B1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71B1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1B1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71B1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71B1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71B1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71B1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71B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71B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71B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71B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71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1B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71B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71B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71B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71B16"/>
    <w:rPr>
      <w:i/>
      <w:iCs/>
      <w:color w:val="404040" w:themeColor="text1" w:themeTint="BF"/>
    </w:rPr>
  </w:style>
  <w:style w:type="paragraph" w:styleId="Paragrafoelenco">
    <w:name w:val="List Paragraph"/>
    <w:basedOn w:val="Normale"/>
    <w:uiPriority w:val="34"/>
    <w:qFormat/>
    <w:rsid w:val="00271B16"/>
    <w:pPr>
      <w:ind w:left="720"/>
      <w:contextualSpacing/>
    </w:pPr>
  </w:style>
  <w:style w:type="character" w:styleId="Enfasiintensa">
    <w:name w:val="Intense Emphasis"/>
    <w:basedOn w:val="Carpredefinitoparagrafo"/>
    <w:uiPriority w:val="21"/>
    <w:qFormat/>
    <w:rsid w:val="00271B16"/>
    <w:rPr>
      <w:i/>
      <w:iCs/>
      <w:color w:val="0F4761" w:themeColor="accent1" w:themeShade="BF"/>
    </w:rPr>
  </w:style>
  <w:style w:type="paragraph" w:styleId="Citazioneintensa">
    <w:name w:val="Intense Quote"/>
    <w:basedOn w:val="Normale"/>
    <w:next w:val="Normale"/>
    <w:link w:val="CitazioneintensaCarattere"/>
    <w:uiPriority w:val="30"/>
    <w:qFormat/>
    <w:rsid w:val="00271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71B16"/>
    <w:rPr>
      <w:i/>
      <w:iCs/>
      <w:color w:val="0F4761" w:themeColor="accent1" w:themeShade="BF"/>
    </w:rPr>
  </w:style>
  <w:style w:type="character" w:styleId="Riferimentointenso">
    <w:name w:val="Intense Reference"/>
    <w:basedOn w:val="Carpredefinitoparagrafo"/>
    <w:uiPriority w:val="32"/>
    <w:qFormat/>
    <w:rsid w:val="00271B16"/>
    <w:rPr>
      <w:b/>
      <w:bCs/>
      <w:smallCaps/>
      <w:color w:val="0F4761" w:themeColor="accent1" w:themeShade="BF"/>
      <w:spacing w:val="5"/>
    </w:rPr>
  </w:style>
  <w:style w:type="paragraph" w:styleId="NormaleWeb">
    <w:name w:val="Normal (Web)"/>
    <w:basedOn w:val="Normale"/>
    <w:uiPriority w:val="99"/>
    <w:unhideWhenUsed/>
    <w:rsid w:val="002A4A8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A4A89"/>
    <w:rPr>
      <w:b/>
      <w:bCs/>
    </w:rPr>
  </w:style>
  <w:style w:type="paragraph" w:styleId="Intestazione">
    <w:name w:val="header"/>
    <w:basedOn w:val="Normale"/>
    <w:link w:val="IntestazioneCarattere"/>
    <w:uiPriority w:val="99"/>
    <w:unhideWhenUsed/>
    <w:rsid w:val="00CB38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38E1"/>
  </w:style>
  <w:style w:type="paragraph" w:styleId="Pidipagina">
    <w:name w:val="footer"/>
    <w:basedOn w:val="Normale"/>
    <w:link w:val="PidipaginaCarattere"/>
    <w:uiPriority w:val="99"/>
    <w:unhideWhenUsed/>
    <w:rsid w:val="00CB38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38E1"/>
  </w:style>
  <w:style w:type="character" w:styleId="Collegamentoipertestuale">
    <w:name w:val="Hyperlink"/>
    <w:basedOn w:val="Carpredefinitoparagrafo"/>
    <w:uiPriority w:val="99"/>
    <w:semiHidden/>
    <w:unhideWhenUsed/>
    <w:rsid w:val="00814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9232">
      <w:bodyDiv w:val="1"/>
      <w:marLeft w:val="0"/>
      <w:marRight w:val="0"/>
      <w:marTop w:val="0"/>
      <w:marBottom w:val="0"/>
      <w:divBdr>
        <w:top w:val="none" w:sz="0" w:space="0" w:color="auto"/>
        <w:left w:val="none" w:sz="0" w:space="0" w:color="auto"/>
        <w:bottom w:val="none" w:sz="0" w:space="0" w:color="auto"/>
        <w:right w:val="none" w:sz="0" w:space="0" w:color="auto"/>
      </w:divBdr>
      <w:divsChild>
        <w:div w:id="551622548">
          <w:marLeft w:val="547"/>
          <w:marRight w:val="0"/>
          <w:marTop w:val="106"/>
          <w:marBottom w:val="0"/>
          <w:divBdr>
            <w:top w:val="none" w:sz="0" w:space="0" w:color="auto"/>
            <w:left w:val="none" w:sz="0" w:space="0" w:color="auto"/>
            <w:bottom w:val="none" w:sz="0" w:space="0" w:color="auto"/>
            <w:right w:val="none" w:sz="0" w:space="0" w:color="auto"/>
          </w:divBdr>
        </w:div>
      </w:divsChild>
    </w:div>
    <w:div w:id="165679843">
      <w:bodyDiv w:val="1"/>
      <w:marLeft w:val="0"/>
      <w:marRight w:val="0"/>
      <w:marTop w:val="0"/>
      <w:marBottom w:val="0"/>
      <w:divBdr>
        <w:top w:val="none" w:sz="0" w:space="0" w:color="auto"/>
        <w:left w:val="none" w:sz="0" w:space="0" w:color="auto"/>
        <w:bottom w:val="none" w:sz="0" w:space="0" w:color="auto"/>
        <w:right w:val="none" w:sz="0" w:space="0" w:color="auto"/>
      </w:divBdr>
      <w:divsChild>
        <w:div w:id="1699698644">
          <w:marLeft w:val="547"/>
          <w:marRight w:val="0"/>
          <w:marTop w:val="106"/>
          <w:marBottom w:val="0"/>
          <w:divBdr>
            <w:top w:val="none" w:sz="0" w:space="0" w:color="auto"/>
            <w:left w:val="none" w:sz="0" w:space="0" w:color="auto"/>
            <w:bottom w:val="none" w:sz="0" w:space="0" w:color="auto"/>
            <w:right w:val="none" w:sz="0" w:space="0" w:color="auto"/>
          </w:divBdr>
        </w:div>
      </w:divsChild>
    </w:div>
    <w:div w:id="225380709">
      <w:bodyDiv w:val="1"/>
      <w:marLeft w:val="0"/>
      <w:marRight w:val="0"/>
      <w:marTop w:val="0"/>
      <w:marBottom w:val="0"/>
      <w:divBdr>
        <w:top w:val="none" w:sz="0" w:space="0" w:color="auto"/>
        <w:left w:val="none" w:sz="0" w:space="0" w:color="auto"/>
        <w:bottom w:val="none" w:sz="0" w:space="0" w:color="auto"/>
        <w:right w:val="none" w:sz="0" w:space="0" w:color="auto"/>
      </w:divBdr>
    </w:div>
    <w:div w:id="484200149">
      <w:bodyDiv w:val="1"/>
      <w:marLeft w:val="0"/>
      <w:marRight w:val="0"/>
      <w:marTop w:val="0"/>
      <w:marBottom w:val="0"/>
      <w:divBdr>
        <w:top w:val="none" w:sz="0" w:space="0" w:color="auto"/>
        <w:left w:val="none" w:sz="0" w:space="0" w:color="auto"/>
        <w:bottom w:val="none" w:sz="0" w:space="0" w:color="auto"/>
        <w:right w:val="none" w:sz="0" w:space="0" w:color="auto"/>
      </w:divBdr>
    </w:div>
    <w:div w:id="729158349">
      <w:bodyDiv w:val="1"/>
      <w:marLeft w:val="0"/>
      <w:marRight w:val="0"/>
      <w:marTop w:val="0"/>
      <w:marBottom w:val="0"/>
      <w:divBdr>
        <w:top w:val="none" w:sz="0" w:space="0" w:color="auto"/>
        <w:left w:val="none" w:sz="0" w:space="0" w:color="auto"/>
        <w:bottom w:val="none" w:sz="0" w:space="0" w:color="auto"/>
        <w:right w:val="none" w:sz="0" w:space="0" w:color="auto"/>
      </w:divBdr>
    </w:div>
    <w:div w:id="813982596">
      <w:bodyDiv w:val="1"/>
      <w:marLeft w:val="0"/>
      <w:marRight w:val="0"/>
      <w:marTop w:val="0"/>
      <w:marBottom w:val="0"/>
      <w:divBdr>
        <w:top w:val="none" w:sz="0" w:space="0" w:color="auto"/>
        <w:left w:val="none" w:sz="0" w:space="0" w:color="auto"/>
        <w:bottom w:val="none" w:sz="0" w:space="0" w:color="auto"/>
        <w:right w:val="none" w:sz="0" w:space="0" w:color="auto"/>
      </w:divBdr>
    </w:div>
    <w:div w:id="903876442">
      <w:bodyDiv w:val="1"/>
      <w:marLeft w:val="0"/>
      <w:marRight w:val="0"/>
      <w:marTop w:val="0"/>
      <w:marBottom w:val="0"/>
      <w:divBdr>
        <w:top w:val="none" w:sz="0" w:space="0" w:color="auto"/>
        <w:left w:val="none" w:sz="0" w:space="0" w:color="auto"/>
        <w:bottom w:val="none" w:sz="0" w:space="0" w:color="auto"/>
        <w:right w:val="none" w:sz="0" w:space="0" w:color="auto"/>
      </w:divBdr>
    </w:div>
    <w:div w:id="930311830">
      <w:bodyDiv w:val="1"/>
      <w:marLeft w:val="0"/>
      <w:marRight w:val="0"/>
      <w:marTop w:val="0"/>
      <w:marBottom w:val="0"/>
      <w:divBdr>
        <w:top w:val="none" w:sz="0" w:space="0" w:color="auto"/>
        <w:left w:val="none" w:sz="0" w:space="0" w:color="auto"/>
        <w:bottom w:val="none" w:sz="0" w:space="0" w:color="auto"/>
        <w:right w:val="none" w:sz="0" w:space="0" w:color="auto"/>
      </w:divBdr>
    </w:div>
    <w:div w:id="1690176094">
      <w:bodyDiv w:val="1"/>
      <w:marLeft w:val="0"/>
      <w:marRight w:val="0"/>
      <w:marTop w:val="0"/>
      <w:marBottom w:val="0"/>
      <w:divBdr>
        <w:top w:val="none" w:sz="0" w:space="0" w:color="auto"/>
        <w:left w:val="none" w:sz="0" w:space="0" w:color="auto"/>
        <w:bottom w:val="none" w:sz="0" w:space="0" w:color="auto"/>
        <w:right w:val="none" w:sz="0" w:space="0" w:color="auto"/>
      </w:divBdr>
    </w:div>
    <w:div w:id="2006013469">
      <w:bodyDiv w:val="1"/>
      <w:marLeft w:val="0"/>
      <w:marRight w:val="0"/>
      <w:marTop w:val="0"/>
      <w:marBottom w:val="0"/>
      <w:divBdr>
        <w:top w:val="none" w:sz="0" w:space="0" w:color="auto"/>
        <w:left w:val="none" w:sz="0" w:space="0" w:color="auto"/>
        <w:bottom w:val="none" w:sz="0" w:space="0" w:color="auto"/>
        <w:right w:val="none" w:sz="0" w:space="0" w:color="auto"/>
      </w:divBdr>
      <w:divsChild>
        <w:div w:id="499201218">
          <w:marLeft w:val="0"/>
          <w:marRight w:val="0"/>
          <w:marTop w:val="0"/>
          <w:marBottom w:val="0"/>
          <w:divBdr>
            <w:top w:val="none" w:sz="0" w:space="0" w:color="auto"/>
            <w:left w:val="none" w:sz="0" w:space="0" w:color="auto"/>
            <w:bottom w:val="none" w:sz="0" w:space="0" w:color="auto"/>
            <w:right w:val="none" w:sz="0" w:space="0" w:color="auto"/>
          </w:divBdr>
          <w:divsChild>
            <w:div w:id="1729186088">
              <w:marLeft w:val="0"/>
              <w:marRight w:val="0"/>
              <w:marTop w:val="0"/>
              <w:marBottom w:val="0"/>
              <w:divBdr>
                <w:top w:val="none" w:sz="0" w:space="0" w:color="auto"/>
                <w:left w:val="none" w:sz="0" w:space="0" w:color="auto"/>
                <w:bottom w:val="none" w:sz="0" w:space="0" w:color="auto"/>
                <w:right w:val="none" w:sz="0" w:space="0" w:color="auto"/>
              </w:divBdr>
              <w:divsChild>
                <w:div w:id="1579290671">
                  <w:marLeft w:val="0"/>
                  <w:marRight w:val="0"/>
                  <w:marTop w:val="0"/>
                  <w:marBottom w:val="0"/>
                  <w:divBdr>
                    <w:top w:val="none" w:sz="0" w:space="0" w:color="auto"/>
                    <w:left w:val="none" w:sz="0" w:space="0" w:color="auto"/>
                    <w:bottom w:val="none" w:sz="0" w:space="0" w:color="auto"/>
                    <w:right w:val="none" w:sz="0" w:space="0" w:color="auto"/>
                  </w:divBdr>
                  <w:divsChild>
                    <w:div w:id="1008942163">
                      <w:marLeft w:val="0"/>
                      <w:marRight w:val="0"/>
                      <w:marTop w:val="0"/>
                      <w:marBottom w:val="0"/>
                      <w:divBdr>
                        <w:top w:val="none" w:sz="0" w:space="0" w:color="auto"/>
                        <w:left w:val="none" w:sz="0" w:space="0" w:color="auto"/>
                        <w:bottom w:val="none" w:sz="0" w:space="0" w:color="auto"/>
                        <w:right w:val="none" w:sz="0" w:space="0" w:color="auto"/>
                      </w:divBdr>
                      <w:divsChild>
                        <w:div w:id="1594166524">
                          <w:marLeft w:val="0"/>
                          <w:marRight w:val="0"/>
                          <w:marTop w:val="0"/>
                          <w:marBottom w:val="0"/>
                          <w:divBdr>
                            <w:top w:val="none" w:sz="0" w:space="0" w:color="auto"/>
                            <w:left w:val="none" w:sz="0" w:space="0" w:color="auto"/>
                            <w:bottom w:val="none" w:sz="0" w:space="0" w:color="auto"/>
                            <w:right w:val="none" w:sz="0" w:space="0" w:color="auto"/>
                          </w:divBdr>
                          <w:divsChild>
                            <w:div w:id="98188328">
                              <w:marLeft w:val="0"/>
                              <w:marRight w:val="0"/>
                              <w:marTop w:val="0"/>
                              <w:marBottom w:val="0"/>
                              <w:divBdr>
                                <w:top w:val="none" w:sz="0" w:space="0" w:color="auto"/>
                                <w:left w:val="none" w:sz="0" w:space="0" w:color="auto"/>
                                <w:bottom w:val="none" w:sz="0" w:space="0" w:color="auto"/>
                                <w:right w:val="none" w:sz="0" w:space="0" w:color="auto"/>
                              </w:divBdr>
                              <w:divsChild>
                                <w:div w:id="1077554866">
                                  <w:marLeft w:val="0"/>
                                  <w:marRight w:val="0"/>
                                  <w:marTop w:val="0"/>
                                  <w:marBottom w:val="0"/>
                                  <w:divBdr>
                                    <w:top w:val="none" w:sz="0" w:space="0" w:color="auto"/>
                                    <w:left w:val="none" w:sz="0" w:space="0" w:color="auto"/>
                                    <w:bottom w:val="none" w:sz="0" w:space="0" w:color="auto"/>
                                    <w:right w:val="none" w:sz="0" w:space="0" w:color="auto"/>
                                  </w:divBdr>
                                  <w:divsChild>
                                    <w:div w:id="1292436860">
                                      <w:marLeft w:val="0"/>
                                      <w:marRight w:val="0"/>
                                      <w:marTop w:val="0"/>
                                      <w:marBottom w:val="0"/>
                                      <w:divBdr>
                                        <w:top w:val="none" w:sz="0" w:space="0" w:color="auto"/>
                                        <w:left w:val="none" w:sz="0" w:space="0" w:color="auto"/>
                                        <w:bottom w:val="none" w:sz="0" w:space="0" w:color="auto"/>
                                        <w:right w:val="none" w:sz="0" w:space="0" w:color="auto"/>
                                      </w:divBdr>
                                    </w:div>
                                    <w:div w:id="1190488630">
                                      <w:marLeft w:val="0"/>
                                      <w:marRight w:val="0"/>
                                      <w:marTop w:val="0"/>
                                      <w:marBottom w:val="0"/>
                                      <w:divBdr>
                                        <w:top w:val="none" w:sz="0" w:space="0" w:color="auto"/>
                                        <w:left w:val="none" w:sz="0" w:space="0" w:color="auto"/>
                                        <w:bottom w:val="none" w:sz="0" w:space="0" w:color="auto"/>
                                        <w:right w:val="none" w:sz="0" w:space="0" w:color="auto"/>
                                      </w:divBdr>
                                      <w:divsChild>
                                        <w:div w:id="649865698">
                                          <w:marLeft w:val="0"/>
                                          <w:marRight w:val="165"/>
                                          <w:marTop w:val="150"/>
                                          <w:marBottom w:val="0"/>
                                          <w:divBdr>
                                            <w:top w:val="none" w:sz="0" w:space="0" w:color="auto"/>
                                            <w:left w:val="none" w:sz="0" w:space="0" w:color="auto"/>
                                            <w:bottom w:val="none" w:sz="0" w:space="0" w:color="auto"/>
                                            <w:right w:val="none" w:sz="0" w:space="0" w:color="auto"/>
                                          </w:divBdr>
                                          <w:divsChild>
                                            <w:div w:id="525945362">
                                              <w:marLeft w:val="0"/>
                                              <w:marRight w:val="0"/>
                                              <w:marTop w:val="0"/>
                                              <w:marBottom w:val="0"/>
                                              <w:divBdr>
                                                <w:top w:val="none" w:sz="0" w:space="0" w:color="auto"/>
                                                <w:left w:val="none" w:sz="0" w:space="0" w:color="auto"/>
                                                <w:bottom w:val="none" w:sz="0" w:space="0" w:color="auto"/>
                                                <w:right w:val="none" w:sz="0" w:space="0" w:color="auto"/>
                                              </w:divBdr>
                                              <w:divsChild>
                                                <w:div w:id="17850764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56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419</Words>
  <Characters>2389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9</cp:revision>
  <dcterms:created xsi:type="dcterms:W3CDTF">2024-03-21T08:52:00Z</dcterms:created>
  <dcterms:modified xsi:type="dcterms:W3CDTF">2024-03-21T10:16:00Z</dcterms:modified>
</cp:coreProperties>
</file>