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049A3472" w:rsidR="00B46E7F" w:rsidRDefault="00B33AAD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86B3A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86B3A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2ADAAE51" w14:textId="77777777" w:rsidR="0085023E" w:rsidRDefault="0085023E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CC1AE8F" w14:textId="77777777" w:rsidR="0085023E" w:rsidRDefault="0085023E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3B29BFB" w14:textId="3B9C22A7" w:rsidR="0085023E" w:rsidRPr="0085023E" w:rsidRDefault="0085023E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5023E">
        <w:rPr>
          <w:rFonts w:ascii="Arial" w:eastAsia="Times New Roman" w:hAnsi="Arial" w:cs="Arial"/>
          <w:b/>
          <w:bCs/>
          <w:sz w:val="24"/>
          <w:szCs w:val="24"/>
        </w:rPr>
        <w:t>ORDINI PROFESSIONALI, SLITTANO AL 30 APRILE I PIANI DI PREVENZION</w:t>
      </w:r>
      <w:r w:rsidR="00FB4EF8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Pr="0085023E">
        <w:rPr>
          <w:rFonts w:ascii="Arial" w:eastAsia="Times New Roman" w:hAnsi="Arial" w:cs="Arial"/>
          <w:b/>
          <w:bCs/>
          <w:sz w:val="24"/>
          <w:szCs w:val="24"/>
        </w:rPr>
        <w:t>DELLA CORRUZIONE E DELLA TRASPARENZA 2022-2024</w:t>
      </w:r>
    </w:p>
    <w:p w14:paraId="5EF13AE8" w14:textId="214A05E6" w:rsidR="0085023E" w:rsidRDefault="0085023E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5023E">
        <w:rPr>
          <w:rFonts w:ascii="Arial" w:eastAsia="Times New Roman" w:hAnsi="Arial" w:cs="Arial"/>
          <w:b/>
          <w:bCs/>
          <w:sz w:val="24"/>
          <w:szCs w:val="24"/>
        </w:rPr>
        <w:t>La decisione è stata presa da ANAC a causa del perdurare dello stato di emergenza. Informativa del Consiglio nazionale dei commercialisti agli Ordini locali</w:t>
      </w:r>
    </w:p>
    <w:p w14:paraId="2FD11EE0" w14:textId="77777777" w:rsidR="0085023E" w:rsidRPr="0085023E" w:rsidRDefault="0085023E" w:rsidP="00686B3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FB0AB91" w14:textId="77777777" w:rsidR="0085023E" w:rsidRPr="0085023E" w:rsidRDefault="0085023E" w:rsidP="0085023E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</w:rPr>
      </w:pPr>
    </w:p>
    <w:p w14:paraId="0B693A92" w14:textId="5B89464B" w:rsidR="0085023E" w:rsidRDefault="00893C4E" w:rsidP="0085023E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85023E">
        <w:rPr>
          <w:rFonts w:ascii="Arial" w:eastAsia="Times New Roman" w:hAnsi="Arial" w:cs="Arial"/>
          <w:i/>
          <w:iCs/>
          <w:sz w:val="24"/>
          <w:szCs w:val="24"/>
        </w:rPr>
        <w:t xml:space="preserve">Roma, </w:t>
      </w:r>
      <w:r w:rsidR="0085023E" w:rsidRPr="0085023E">
        <w:rPr>
          <w:rFonts w:ascii="Arial" w:eastAsia="Times New Roman" w:hAnsi="Arial" w:cs="Arial"/>
          <w:i/>
          <w:iCs/>
          <w:sz w:val="24"/>
          <w:szCs w:val="24"/>
        </w:rPr>
        <w:t>21 gennaio</w:t>
      </w:r>
      <w:r w:rsidRPr="0085023E">
        <w:rPr>
          <w:rFonts w:ascii="Arial" w:eastAsia="Times New Roman" w:hAnsi="Arial" w:cs="Arial"/>
          <w:i/>
          <w:iCs/>
          <w:sz w:val="24"/>
          <w:szCs w:val="24"/>
        </w:rPr>
        <w:t xml:space="preserve"> 2022</w:t>
      </w:r>
      <w:r w:rsidRPr="0085023E">
        <w:rPr>
          <w:rFonts w:ascii="Arial" w:eastAsia="Times New Roman" w:hAnsi="Arial" w:cs="Arial"/>
          <w:sz w:val="24"/>
          <w:szCs w:val="24"/>
        </w:rPr>
        <w:t xml:space="preserve"> – </w:t>
      </w:r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Anche gli </w:t>
      </w:r>
      <w:r w:rsidR="0085023E"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Ordini professionali</w:t>
      </w:r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 avranno tempo fino al </w:t>
      </w:r>
      <w:r w:rsidR="0085023E"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30 aprile 2022</w:t>
      </w:r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 per predisporre e pubblicare i </w:t>
      </w:r>
      <w:r w:rsidR="0085023E"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PTPCT 2022-2024</w:t>
      </w:r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 (Piani triennali di prevenzione della corruzione e della trasparenza). Lo rendono noto agli Ordini locali dei dottori commercialisti e degli esperti contabili i </w:t>
      </w:r>
      <w:r w:rsidR="0085023E"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tre commissari straordinari</w:t>
      </w:r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 del Consiglio nazionale della categoria Costa, Giugliano e Vigani attraverso </w:t>
      </w:r>
      <w:hyperlink r:id="rId8" w:history="1">
        <w:r w:rsidR="0085023E" w:rsidRPr="0085023E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</w:rPr>
          <w:t>l’informativa n. 10 del 21 gennaio 2022</w:t>
        </w:r>
      </w:hyperlink>
      <w:r w:rsidR="0085023E" w:rsidRPr="0085023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C5AA3F5" w14:textId="77777777" w:rsidR="0085023E" w:rsidRPr="0085023E" w:rsidRDefault="0085023E" w:rsidP="0085023E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5EF8BB1E" w14:textId="7C50B961" w:rsid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decisione è stata presa dall’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ANAC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(Autorità Nazionale Anticorruzione) con la </w:t>
      </w:r>
      <w:hyperlink r:id="rId9" w:history="1">
        <w:r w:rsidRPr="0085023E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delibera n. 1 del 12 gennaio</w:t>
        </w:r>
      </w:hyperlink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a causa del perdurare dello stato di emergenza sanitaria per consentire ai Responsabili della Prevenzione della corruzione e della trasparenza (RPCT) di svolgere adeguatamente tutte le attività relative alla predisposizione dei Piani triennali. Per adempiere alla predisposizione dei Piani entro la scadenza del 30 aprile 2022, i soggetti interessati potranno tenere conto delle indicazioni del 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vigente PNA 2019-2021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3FE4B41A" w14:textId="77777777" w:rsidR="0085023E" w:rsidRP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072F6410" w14:textId="43DE18A5" w:rsid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“Resta inteso – si legge nel documento dell’ANAC – che il presidio di fatti corruttivi o ipotesi di disfunzioni amministrative significative, rilevati nel monitoraggio svolto sull’attuazione della precedente pianificazione, continuerà nelle more ad essere garantito dalle misure già adottate nei PTPCT 2021 -2023. ln ogni caso, ciascuna amministrazione o ente potrà 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anticipare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rispetto al termine del 30 aprile,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 l’adozione di specifiche misure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, laddove, anche sulla base del monitoraggio effettuato, dovesse ritenerlo necessario ai fini dell’efficacia dell’azione di prevenzione della corruzione e della trasparenza”.</w:t>
      </w:r>
    </w:p>
    <w:p w14:paraId="3A644B8E" w14:textId="77777777" w:rsidR="0085023E" w:rsidRP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401E7E72" w14:textId="34B369B8" w:rsid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Inoltre, le amministrazioni o gli enti che, sulla base delle indicazioni che saranno offerte dall’Autorità e delle specifiche esigenze, saranno pronti all’adozione del PTPCT o del documento recante misure di prevenzione della corruzione e della trasparenza da inserire nell’apposita sezione del PIAO, potranno provvedere all’adozione di tali atti 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anche prima del termine di differimento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61EB773B" w14:textId="77777777" w:rsidR="0085023E" w:rsidRP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6CE5C3F0" w14:textId="77777777" w:rsidR="0085023E" w:rsidRPr="0085023E" w:rsidRDefault="0085023E" w:rsidP="0085023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L’ANAC, infine, per agevolare la stesura dei nuovi Piani nell’ottica della semplificazione e dell’efficacia ha predisposto un apposito 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Vademecum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di esemplificazione ed orientamento valido sia per la predisposizione dei PTPCT, sia della sezione del PIAO dedicata alle misure di prevenzione della corruzione e per la trasparenza. Il Vademecum verrà </w:t>
      </w:r>
      <w:r w:rsidRPr="0085023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illustrato il prossimo 3 febbraio</w:t>
      </w:r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durante un evento pubblico online sul </w:t>
      </w:r>
      <w:hyperlink r:id="rId10" w:history="1">
        <w:r w:rsidRPr="0085023E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sito istituzionale</w:t>
        </w:r>
      </w:hyperlink>
      <w:r w:rsidRPr="0085023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dell’ANAC.</w:t>
      </w:r>
    </w:p>
    <w:p w14:paraId="18F415FD" w14:textId="459AB6F0" w:rsidR="00276BA4" w:rsidRPr="0085023E" w:rsidRDefault="00276BA4" w:rsidP="0085023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85023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6CF4" w14:textId="77777777" w:rsidR="00E270A4" w:rsidRDefault="00E270A4" w:rsidP="00C244F9">
      <w:pPr>
        <w:spacing w:after="0" w:line="240" w:lineRule="auto"/>
      </w:pPr>
      <w:r>
        <w:separator/>
      </w:r>
    </w:p>
  </w:endnote>
  <w:endnote w:type="continuationSeparator" w:id="0">
    <w:p w14:paraId="4E47B2AE" w14:textId="77777777" w:rsidR="00E270A4" w:rsidRDefault="00E270A4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7137" w14:textId="77777777" w:rsidR="00E270A4" w:rsidRDefault="00E270A4" w:rsidP="00C244F9">
      <w:pPr>
        <w:spacing w:after="0" w:line="240" w:lineRule="auto"/>
      </w:pPr>
      <w:r>
        <w:separator/>
      </w:r>
    </w:p>
  </w:footnote>
  <w:footnote w:type="continuationSeparator" w:id="0">
    <w:p w14:paraId="5E0740E1" w14:textId="77777777" w:rsidR="00E270A4" w:rsidRDefault="00E270A4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73A3"/>
    <w:rsid w:val="003935EA"/>
    <w:rsid w:val="003C2E00"/>
    <w:rsid w:val="003D0CE5"/>
    <w:rsid w:val="003E3FF8"/>
    <w:rsid w:val="00410906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605191"/>
    <w:rsid w:val="00624EFC"/>
    <w:rsid w:val="00656D74"/>
    <w:rsid w:val="0066467C"/>
    <w:rsid w:val="00686B3A"/>
    <w:rsid w:val="006B481F"/>
    <w:rsid w:val="006F4EC2"/>
    <w:rsid w:val="00792220"/>
    <w:rsid w:val="007B2FC1"/>
    <w:rsid w:val="007B4E5F"/>
    <w:rsid w:val="0080067F"/>
    <w:rsid w:val="00800A12"/>
    <w:rsid w:val="0081049B"/>
    <w:rsid w:val="00813B39"/>
    <w:rsid w:val="0085023E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F3A"/>
    <w:rsid w:val="00D64987"/>
    <w:rsid w:val="00DA3824"/>
    <w:rsid w:val="00DD1BB9"/>
    <w:rsid w:val="00DE3A12"/>
    <w:rsid w:val="00DF6872"/>
    <w:rsid w:val="00E00966"/>
    <w:rsid w:val="00E270A4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isti.it/visualizzatore-articolo?_articleId=1470456&amp;plid=464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nticorruzion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-/delibera-numero-1-del-12-gennaio-2022?inheritRedirect=true&amp;redirect=%2Fconsulta-i-documenti%3Fq%3Ddelibera%25201%25202022%26sort%3Dddm__Dataclu0_String_sortable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22</cp:revision>
  <dcterms:created xsi:type="dcterms:W3CDTF">2022-01-20T09:36:00Z</dcterms:created>
  <dcterms:modified xsi:type="dcterms:W3CDTF">2022-01-24T12:06:00Z</dcterms:modified>
</cp:coreProperties>
</file>