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E6035" w14:textId="77777777" w:rsidR="009D1104" w:rsidRPr="00D64E46" w:rsidRDefault="009D1104" w:rsidP="00D64E46">
      <w:pPr>
        <w:pStyle w:val="NormaleWeb"/>
        <w:spacing w:before="0" w:beforeAutospacing="0" w:after="0" w:afterAutospacing="0"/>
        <w:jc w:val="both"/>
        <w:rPr>
          <w:rFonts w:ascii="Arial" w:hAnsi="Arial" w:cs="Arial"/>
        </w:rPr>
      </w:pPr>
    </w:p>
    <w:p w14:paraId="30356A15" w14:textId="6ABF6985" w:rsidR="003506C6" w:rsidRPr="00D64E46" w:rsidRDefault="003506C6" w:rsidP="00D64E46">
      <w:pPr>
        <w:jc w:val="both"/>
        <w:rPr>
          <w:rFonts w:ascii="Arial" w:hAnsi="Arial" w:cs="Arial"/>
          <w:b/>
          <w:bCs/>
          <w:color w:val="000000" w:themeColor="text1"/>
        </w:rPr>
      </w:pPr>
      <w:r w:rsidRPr="00D64E46">
        <w:rPr>
          <w:rFonts w:ascii="Arial" w:hAnsi="Arial" w:cs="Arial"/>
          <w:b/>
          <w:bCs/>
          <w:color w:val="000000" w:themeColor="text1"/>
        </w:rPr>
        <w:t xml:space="preserve">Comunicato stampa </w:t>
      </w:r>
    </w:p>
    <w:p w14:paraId="4C4007E8" w14:textId="77777777" w:rsidR="003506C6" w:rsidRPr="00D64E46" w:rsidRDefault="003506C6" w:rsidP="00D64E46">
      <w:pPr>
        <w:jc w:val="both"/>
        <w:rPr>
          <w:rFonts w:ascii="Arial" w:hAnsi="Arial" w:cs="Arial"/>
          <w:color w:val="000000" w:themeColor="text1"/>
        </w:rPr>
      </w:pPr>
    </w:p>
    <w:p w14:paraId="6A302954" w14:textId="77777777" w:rsidR="00D64E46" w:rsidRPr="00D64E46" w:rsidRDefault="00D64E46" w:rsidP="00D64E46">
      <w:pPr>
        <w:pStyle w:val="p1"/>
        <w:shd w:val="clear" w:color="auto" w:fill="FFFFFF"/>
        <w:jc w:val="both"/>
        <w:rPr>
          <w:rFonts w:ascii="Arial" w:hAnsi="Arial" w:cs="Arial"/>
          <w:i/>
          <w:iCs/>
          <w:color w:val="000000"/>
          <w:sz w:val="20"/>
          <w:szCs w:val="20"/>
        </w:rPr>
      </w:pPr>
      <w:r w:rsidRPr="00D64E46">
        <w:rPr>
          <w:rFonts w:ascii="Arial" w:hAnsi="Arial" w:cs="Arial"/>
          <w:i/>
          <w:iCs/>
          <w:color w:val="000000"/>
          <w:sz w:val="20"/>
          <w:szCs w:val="20"/>
        </w:rPr>
        <w:t>DOCUMENTO CNDCEC-FNC</w:t>
      </w:r>
    </w:p>
    <w:p w14:paraId="18C48585" w14:textId="30CAABDE" w:rsidR="00D64E46" w:rsidRPr="00D64E46" w:rsidRDefault="00D64E46" w:rsidP="00D64E46">
      <w:pPr>
        <w:pStyle w:val="p1"/>
        <w:shd w:val="clear" w:color="auto" w:fill="FFFFFF"/>
        <w:jc w:val="both"/>
        <w:rPr>
          <w:rFonts w:ascii="Arial" w:hAnsi="Arial" w:cs="Arial"/>
          <w:color w:val="000000"/>
          <w:sz w:val="21"/>
          <w:szCs w:val="21"/>
        </w:rPr>
      </w:pPr>
      <w:r w:rsidRPr="00D64E46">
        <w:rPr>
          <w:rFonts w:ascii="Arial" w:hAnsi="Arial" w:cs="Arial"/>
          <w:b/>
          <w:bCs/>
          <w:color w:val="000000"/>
          <w:sz w:val="24"/>
          <w:szCs w:val="24"/>
        </w:rPr>
        <w:t xml:space="preserve">COMMERCIALISTI: DEDUZIONI IRAP ED ENTI </w:t>
      </w:r>
      <w:r w:rsidRPr="00D64E46">
        <w:rPr>
          <w:rFonts w:ascii="Arial" w:hAnsi="Arial" w:cs="Arial"/>
          <w:b/>
          <w:bCs/>
          <w:color w:val="000000"/>
          <w:sz w:val="24"/>
          <w:szCs w:val="24"/>
        </w:rPr>
        <w:t>N</w:t>
      </w:r>
      <w:r w:rsidRPr="00D64E46">
        <w:rPr>
          <w:rFonts w:ascii="Arial" w:hAnsi="Arial" w:cs="Arial"/>
          <w:b/>
          <w:bCs/>
          <w:color w:val="000000"/>
          <w:sz w:val="24"/>
          <w:szCs w:val="24"/>
        </w:rPr>
        <w:t>ON COMMERCIALI</w:t>
      </w:r>
    </w:p>
    <w:p w14:paraId="4643005B" w14:textId="635BAE7F" w:rsidR="00D64E46" w:rsidRPr="00D64E46" w:rsidRDefault="00D64E46" w:rsidP="00D64E46">
      <w:pPr>
        <w:pStyle w:val="p2"/>
        <w:jc w:val="both"/>
        <w:rPr>
          <w:rFonts w:ascii="Arial" w:hAnsi="Arial" w:cs="Arial"/>
          <w:color w:val="000000"/>
        </w:rPr>
      </w:pPr>
      <w:r w:rsidRPr="00D64E46">
        <w:rPr>
          <w:rFonts w:ascii="Arial" w:hAnsi="Arial" w:cs="Arial"/>
          <w:b/>
          <w:bCs/>
          <w:color w:val="000000"/>
          <w:sz w:val="24"/>
          <w:szCs w:val="24"/>
        </w:rPr>
        <w:t xml:space="preserve">Lo studio, vista la complessa articolazione del sistema normativo di riferimento, </w:t>
      </w:r>
      <w:r>
        <w:rPr>
          <w:rFonts w:ascii="Arial" w:hAnsi="Arial" w:cs="Arial"/>
          <w:b/>
          <w:bCs/>
          <w:color w:val="000000"/>
          <w:sz w:val="24"/>
          <w:szCs w:val="24"/>
        </w:rPr>
        <w:t xml:space="preserve">include </w:t>
      </w:r>
      <w:r w:rsidRPr="00D64E46">
        <w:rPr>
          <w:rFonts w:ascii="Arial" w:hAnsi="Arial" w:cs="Arial"/>
          <w:b/>
          <w:bCs/>
          <w:color w:val="000000"/>
          <w:sz w:val="24"/>
          <w:szCs w:val="24"/>
        </w:rPr>
        <w:t>un breve quadro di sintesi</w:t>
      </w:r>
      <w:r w:rsidRPr="00D64E46">
        <w:rPr>
          <w:rStyle w:val="apple-converted-space"/>
          <w:rFonts w:ascii="Arial" w:hAnsi="Arial" w:cs="Arial"/>
          <w:b/>
          <w:bCs/>
          <w:color w:val="000000"/>
          <w:sz w:val="24"/>
          <w:szCs w:val="24"/>
        </w:rPr>
        <w:t> </w:t>
      </w:r>
      <w:r w:rsidRPr="00D64E46">
        <w:rPr>
          <w:rFonts w:ascii="Arial" w:hAnsi="Arial" w:cs="Arial"/>
          <w:b/>
          <w:bCs/>
          <w:color w:val="000000"/>
          <w:sz w:val="24"/>
          <w:szCs w:val="24"/>
        </w:rPr>
        <w:t>che riepiloga gli elementi caratterizzanti di ogni singola misura</w:t>
      </w:r>
    </w:p>
    <w:p w14:paraId="13717003" w14:textId="77777777" w:rsidR="00D64E46" w:rsidRPr="00D64E46" w:rsidRDefault="00D64E46" w:rsidP="00D64E46">
      <w:pPr>
        <w:pStyle w:val="p2"/>
        <w:jc w:val="both"/>
        <w:rPr>
          <w:rFonts w:ascii="Arial" w:hAnsi="Arial" w:cs="Arial"/>
          <w:color w:val="000000"/>
        </w:rPr>
      </w:pPr>
    </w:p>
    <w:p w14:paraId="20599A64" w14:textId="5DF26DB1" w:rsidR="00D64E46" w:rsidRDefault="00D64E46" w:rsidP="00D64E46">
      <w:pPr>
        <w:jc w:val="both"/>
        <w:rPr>
          <w:rFonts w:ascii="Arial" w:hAnsi="Arial" w:cs="Arial"/>
          <w:color w:val="000000"/>
        </w:rPr>
      </w:pPr>
      <w:r w:rsidRPr="00D64E46">
        <w:rPr>
          <w:rFonts w:ascii="Arial" w:hAnsi="Arial" w:cs="Arial"/>
          <w:i/>
          <w:iCs/>
        </w:rPr>
        <w:t>Roma</w:t>
      </w:r>
      <w:r w:rsidRPr="00D64E46">
        <w:rPr>
          <w:rFonts w:ascii="Arial" w:hAnsi="Arial" w:cs="Arial"/>
          <w:i/>
          <w:iCs/>
        </w:rPr>
        <w:t>,</w:t>
      </w:r>
      <w:r w:rsidRPr="00D64E46">
        <w:rPr>
          <w:rFonts w:ascii="Arial" w:hAnsi="Arial" w:cs="Arial"/>
          <w:i/>
          <w:iCs/>
        </w:rPr>
        <w:t xml:space="preserve"> 20 novembre 2020</w:t>
      </w:r>
      <w:r>
        <w:rPr>
          <w:rFonts w:ascii="Arial" w:hAnsi="Arial" w:cs="Arial"/>
        </w:rPr>
        <w:t xml:space="preserve"> – </w:t>
      </w:r>
      <w:r w:rsidRPr="00D64E46">
        <w:rPr>
          <w:rFonts w:ascii="Arial" w:hAnsi="Arial" w:cs="Arial"/>
          <w:color w:val="000000"/>
        </w:rPr>
        <w:t xml:space="preserve">Il Consiglio e la Fondazione </w:t>
      </w:r>
      <w:r w:rsidR="00370611">
        <w:rPr>
          <w:rFonts w:ascii="Arial" w:hAnsi="Arial" w:cs="Arial"/>
          <w:color w:val="000000"/>
        </w:rPr>
        <w:t>n</w:t>
      </w:r>
      <w:r w:rsidRPr="00D64E46">
        <w:rPr>
          <w:rFonts w:ascii="Arial" w:hAnsi="Arial" w:cs="Arial"/>
          <w:color w:val="000000"/>
        </w:rPr>
        <w:t>azional</w:t>
      </w:r>
      <w:r w:rsidR="00370611">
        <w:rPr>
          <w:rFonts w:ascii="Arial" w:hAnsi="Arial" w:cs="Arial"/>
          <w:color w:val="000000"/>
        </w:rPr>
        <w:t>i</w:t>
      </w:r>
      <w:r w:rsidRPr="00D64E46">
        <w:rPr>
          <w:rFonts w:ascii="Arial" w:hAnsi="Arial" w:cs="Arial"/>
          <w:color w:val="000000"/>
        </w:rPr>
        <w:t xml:space="preserve"> dei </w:t>
      </w:r>
      <w:r w:rsidR="00370611">
        <w:rPr>
          <w:rFonts w:ascii="Arial" w:hAnsi="Arial" w:cs="Arial"/>
          <w:color w:val="000000"/>
        </w:rPr>
        <w:t>c</w:t>
      </w:r>
      <w:r w:rsidRPr="00D64E46">
        <w:rPr>
          <w:rFonts w:ascii="Arial" w:hAnsi="Arial" w:cs="Arial"/>
          <w:color w:val="000000"/>
        </w:rPr>
        <w:t xml:space="preserve">ommercialisti </w:t>
      </w:r>
      <w:bookmarkStart w:id="0" w:name="_GoBack"/>
      <w:bookmarkEnd w:id="0"/>
      <w:r w:rsidRPr="00D64E46">
        <w:rPr>
          <w:rFonts w:ascii="Arial" w:hAnsi="Arial" w:cs="Arial"/>
          <w:color w:val="000000"/>
        </w:rPr>
        <w:t>hanno pubblicato il documento “Deduzioni IRAP ed enti non commerciali”. Lo studio, all’approssimarsi della scadenza per la presentazione della dichiarazione dei redditi, approfondisce il tema delle deduzioni IRAP (di cui all’articolo 11 del D.lgs. 15 dicembre 1997, n. 446) di cui possono usufruire gli enti non commerciali di diritto privato.</w:t>
      </w:r>
    </w:p>
    <w:p w14:paraId="1FF9A8FA" w14:textId="77777777" w:rsidR="00D64E46" w:rsidRDefault="00D64E46" w:rsidP="00D64E46">
      <w:pPr>
        <w:jc w:val="both"/>
        <w:rPr>
          <w:rFonts w:ascii="Arial" w:hAnsi="Arial" w:cs="Arial"/>
          <w:color w:val="000000"/>
        </w:rPr>
      </w:pPr>
    </w:p>
    <w:p w14:paraId="63447938" w14:textId="2884C0FA" w:rsidR="00D64E46" w:rsidRPr="00D64E46" w:rsidRDefault="00D64E46" w:rsidP="00D64E46">
      <w:pPr>
        <w:jc w:val="both"/>
        <w:rPr>
          <w:rFonts w:ascii="Arial" w:hAnsi="Arial" w:cs="Arial"/>
          <w:color w:val="000000"/>
        </w:rPr>
      </w:pPr>
      <w:r w:rsidRPr="00D64E46">
        <w:rPr>
          <w:rFonts w:ascii="Arial" w:hAnsi="Arial" w:cs="Arial"/>
          <w:color w:val="000000"/>
        </w:rPr>
        <w:t>La disciplina dell’imposta regionale sulle attività produttive (IRAP) è caratterizzata da un principio generale di indeducibilità del costo del lavoro sia nei confronti dei soggetti che determinano la propria base imponibile analiticamente (imprese ed esercenti arti e professioni), sia nei confronti dei soggetti (enti non commerciali e pubbliche amministrazioni) che calcolano l’imposta in base al metodo c.d. “retributivo”, costituendo le retribuzioni e gli altri compensi assimilati la base di determinazione del valore aggiunto della produzione.</w:t>
      </w:r>
      <w:r w:rsidRPr="00D64E46">
        <w:rPr>
          <w:rStyle w:val="apple-converted-space"/>
          <w:rFonts w:ascii="Arial" w:hAnsi="Arial" w:cs="Arial"/>
          <w:color w:val="000000"/>
        </w:rPr>
        <w:t> </w:t>
      </w:r>
    </w:p>
    <w:p w14:paraId="3529D8CD" w14:textId="77777777" w:rsidR="00D64E46" w:rsidRDefault="00D64E46" w:rsidP="00D64E46">
      <w:pPr>
        <w:pStyle w:val="p2"/>
        <w:jc w:val="both"/>
        <w:rPr>
          <w:rFonts w:ascii="Arial" w:hAnsi="Arial" w:cs="Arial"/>
          <w:color w:val="000000"/>
          <w:sz w:val="24"/>
          <w:szCs w:val="24"/>
        </w:rPr>
      </w:pPr>
    </w:p>
    <w:p w14:paraId="37AA01C0" w14:textId="77777777" w:rsidR="00D64E46" w:rsidRDefault="00D64E46" w:rsidP="00D64E46">
      <w:pPr>
        <w:pStyle w:val="p2"/>
        <w:jc w:val="both"/>
        <w:rPr>
          <w:rFonts w:ascii="Arial" w:hAnsi="Arial" w:cs="Arial"/>
          <w:color w:val="000000"/>
          <w:sz w:val="24"/>
          <w:szCs w:val="24"/>
        </w:rPr>
      </w:pPr>
      <w:r w:rsidRPr="00D64E46">
        <w:rPr>
          <w:rFonts w:ascii="Arial" w:hAnsi="Arial" w:cs="Arial"/>
          <w:color w:val="000000"/>
          <w:sz w:val="24"/>
          <w:szCs w:val="24"/>
        </w:rPr>
        <w:t>In deroga a detto principio generale, l’articolo 11 del D.lgs. n. 446 del 1997 (il c.d. “Decreto IRAP”) prevede, al ricorrere di determinate circostanze, la possibilità di operare delle deduzioni dalla base imponibile, in funzione principalmente del costo del lavoro subito dal soggetto passivo d’imposta, nell’ottica di ridurne il cuneo fiscale.</w:t>
      </w:r>
    </w:p>
    <w:p w14:paraId="5E39E231" w14:textId="0BE38F86" w:rsidR="00D64E46" w:rsidRPr="00D64E46" w:rsidRDefault="00D64E46" w:rsidP="00D64E46">
      <w:pPr>
        <w:pStyle w:val="p2"/>
        <w:jc w:val="both"/>
        <w:rPr>
          <w:rFonts w:ascii="Arial" w:hAnsi="Arial" w:cs="Arial"/>
          <w:color w:val="000000"/>
        </w:rPr>
      </w:pPr>
      <w:r w:rsidRPr="00D64E46">
        <w:rPr>
          <w:rStyle w:val="apple-converted-space"/>
          <w:rFonts w:ascii="Arial" w:hAnsi="Arial" w:cs="Arial"/>
          <w:color w:val="000000"/>
          <w:sz w:val="24"/>
          <w:szCs w:val="24"/>
        </w:rPr>
        <w:t> </w:t>
      </w:r>
      <w:r w:rsidRPr="00D64E46">
        <w:rPr>
          <w:rFonts w:ascii="Arial" w:hAnsi="Arial" w:cs="Arial"/>
          <w:color w:val="000000"/>
          <w:sz w:val="24"/>
          <w:szCs w:val="24"/>
        </w:rPr>
        <w:t>Trattandosi di una disciplina derogatoria del principio generale, la normativa di riferimento è soggetta ad interpretazione restrittiva, dovendosi quindi escludere la possibilità di procedere con criteri esegetici di tipo analogico o estensivo.</w:t>
      </w:r>
      <w:r w:rsidRPr="00D64E46">
        <w:rPr>
          <w:rStyle w:val="apple-converted-space"/>
          <w:rFonts w:ascii="Arial" w:hAnsi="Arial" w:cs="Arial"/>
          <w:color w:val="000000"/>
          <w:sz w:val="24"/>
          <w:szCs w:val="24"/>
        </w:rPr>
        <w:t> </w:t>
      </w:r>
    </w:p>
    <w:p w14:paraId="1B5C3251" w14:textId="77777777" w:rsidR="00D64E46" w:rsidRDefault="00D64E46" w:rsidP="00D64E46">
      <w:pPr>
        <w:pStyle w:val="p2"/>
        <w:jc w:val="both"/>
        <w:rPr>
          <w:rFonts w:ascii="Arial" w:hAnsi="Arial" w:cs="Arial"/>
          <w:color w:val="000000"/>
          <w:sz w:val="24"/>
          <w:szCs w:val="24"/>
        </w:rPr>
      </w:pPr>
    </w:p>
    <w:p w14:paraId="6DA76676" w14:textId="1011F121" w:rsidR="00D64E46" w:rsidRPr="00D64E46" w:rsidRDefault="00D64E46" w:rsidP="00D64E46">
      <w:pPr>
        <w:pStyle w:val="p2"/>
        <w:jc w:val="both"/>
        <w:rPr>
          <w:rFonts w:ascii="Arial" w:hAnsi="Arial" w:cs="Arial"/>
          <w:color w:val="000000"/>
        </w:rPr>
      </w:pPr>
      <w:r w:rsidRPr="00D64E46">
        <w:rPr>
          <w:rFonts w:ascii="Arial" w:hAnsi="Arial" w:cs="Arial"/>
          <w:color w:val="000000"/>
          <w:sz w:val="24"/>
          <w:szCs w:val="24"/>
        </w:rPr>
        <w:t>Il sistema di deduzioni delineato dall’articolo 11 del “Decreto IRAP” è diversamente articolato in funzione delle caratteristiche soggettive dell’ente, nonché della tipologia di attività esercitata. Nell’ambito di queste disposizioni, di seguito si analizzeranno quelle applicabili ai soggetti passivi di cui all’articolo 3, lettera e) del “Decreto IRAP”; vale a dire agli enti privati di cui all’articolo 73, comma 1, lettera c), del Tuir) che determinano la base imponibile IRAP con metodo retributivo, ai sensi di quanto disposto dall’articolo 10 del medesimo “Decreto IRAP” e che svolgono sia attività istituzionale che, in misura non prevalente, attività commerciale.</w:t>
      </w:r>
      <w:r w:rsidRPr="00D64E46">
        <w:rPr>
          <w:rStyle w:val="apple-converted-space"/>
          <w:rFonts w:ascii="Arial" w:hAnsi="Arial" w:cs="Arial"/>
          <w:color w:val="000000"/>
          <w:sz w:val="24"/>
          <w:szCs w:val="24"/>
        </w:rPr>
        <w:t> </w:t>
      </w:r>
    </w:p>
    <w:p w14:paraId="7FB63386" w14:textId="77777777" w:rsidR="00D64E46" w:rsidRDefault="00D64E46" w:rsidP="00D64E46">
      <w:pPr>
        <w:pStyle w:val="p2"/>
        <w:jc w:val="both"/>
        <w:rPr>
          <w:rFonts w:ascii="Arial" w:hAnsi="Arial" w:cs="Arial"/>
          <w:color w:val="000000"/>
          <w:sz w:val="24"/>
          <w:szCs w:val="24"/>
        </w:rPr>
      </w:pPr>
    </w:p>
    <w:p w14:paraId="330AF957" w14:textId="77777777" w:rsidR="00D64E46" w:rsidRDefault="00D64E46" w:rsidP="00D64E46">
      <w:pPr>
        <w:pStyle w:val="p2"/>
        <w:jc w:val="both"/>
        <w:rPr>
          <w:rFonts w:ascii="Arial" w:hAnsi="Arial" w:cs="Arial"/>
          <w:color w:val="000000"/>
          <w:sz w:val="24"/>
          <w:szCs w:val="24"/>
        </w:rPr>
      </w:pPr>
      <w:r w:rsidRPr="00D64E46">
        <w:rPr>
          <w:rFonts w:ascii="Arial" w:hAnsi="Arial" w:cs="Arial"/>
          <w:color w:val="000000"/>
          <w:sz w:val="24"/>
          <w:szCs w:val="24"/>
        </w:rPr>
        <w:t>Obiettivo del presente studio è, infatti, quello di verificare quali siano le deduzioni IRAP operanti con riferimento ad un ente non commerciale di diritto privato, residente nel territorio dello Stato, che svolge (in misura non prevalente) anche attività commerciale.</w:t>
      </w:r>
    </w:p>
    <w:p w14:paraId="4A12B5F3" w14:textId="59E14B1A" w:rsidR="00D64E46" w:rsidRPr="00D64E46" w:rsidRDefault="00D64E46" w:rsidP="00D64E46">
      <w:pPr>
        <w:pStyle w:val="p2"/>
        <w:jc w:val="both"/>
        <w:rPr>
          <w:rFonts w:ascii="Arial" w:hAnsi="Arial" w:cs="Arial"/>
          <w:color w:val="000000"/>
        </w:rPr>
      </w:pPr>
      <w:r w:rsidRPr="00D64E46">
        <w:rPr>
          <w:rStyle w:val="apple-converted-space"/>
          <w:rFonts w:ascii="Arial" w:hAnsi="Arial" w:cs="Arial"/>
          <w:color w:val="000000"/>
          <w:sz w:val="24"/>
          <w:szCs w:val="24"/>
        </w:rPr>
        <w:t> </w:t>
      </w:r>
    </w:p>
    <w:p w14:paraId="4ADB197F" w14:textId="3405B443" w:rsidR="00D64E46" w:rsidRPr="00D64E46" w:rsidRDefault="00D64E46" w:rsidP="00D64E46">
      <w:pPr>
        <w:pStyle w:val="p2"/>
        <w:jc w:val="both"/>
        <w:rPr>
          <w:rFonts w:ascii="Arial" w:hAnsi="Arial" w:cs="Arial"/>
          <w:color w:val="000000"/>
        </w:rPr>
      </w:pPr>
      <w:r w:rsidRPr="00D64E46">
        <w:rPr>
          <w:rFonts w:ascii="Arial" w:hAnsi="Arial" w:cs="Arial"/>
          <w:color w:val="000000"/>
          <w:sz w:val="24"/>
          <w:szCs w:val="24"/>
        </w:rPr>
        <w:t>Il documento, vista la complessa articolazione del sistema normativo di riferimento, si conclude con un breve quadro di sintesi, di rapida consultazione,</w:t>
      </w:r>
      <w:r w:rsidRPr="00D64E46">
        <w:rPr>
          <w:rStyle w:val="apple-converted-space"/>
          <w:rFonts w:ascii="Arial" w:hAnsi="Arial" w:cs="Arial"/>
          <w:color w:val="000000"/>
          <w:sz w:val="24"/>
          <w:szCs w:val="24"/>
        </w:rPr>
        <w:t xml:space="preserve"> </w:t>
      </w:r>
      <w:r w:rsidRPr="00D64E46">
        <w:rPr>
          <w:rFonts w:ascii="Arial" w:hAnsi="Arial" w:cs="Arial"/>
          <w:color w:val="000000"/>
          <w:sz w:val="24"/>
          <w:szCs w:val="24"/>
        </w:rPr>
        <w:t>che riepiloga gli elementi caratterizzanti di ogni singola misura.</w:t>
      </w:r>
      <w:r w:rsidRPr="00D64E46">
        <w:rPr>
          <w:rStyle w:val="apple-converted-space"/>
          <w:rFonts w:ascii="Arial" w:hAnsi="Arial" w:cs="Arial"/>
          <w:color w:val="000000"/>
          <w:sz w:val="24"/>
          <w:szCs w:val="24"/>
        </w:rPr>
        <w:t> </w:t>
      </w:r>
    </w:p>
    <w:p w14:paraId="60BAC08C" w14:textId="1DDFDD31" w:rsidR="00B3271C" w:rsidRPr="00D64E46" w:rsidRDefault="005E0451" w:rsidP="00D64E46">
      <w:pPr>
        <w:jc w:val="both"/>
        <w:rPr>
          <w:rFonts w:ascii="Arial" w:hAnsi="Arial" w:cs="Arial"/>
          <w:sz w:val="22"/>
          <w:szCs w:val="22"/>
        </w:rPr>
      </w:pPr>
    </w:p>
    <w:sectPr w:rsidR="00B3271C" w:rsidRPr="00D64E46" w:rsidSect="00986D9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90FA7" w14:textId="77777777" w:rsidR="005E0451" w:rsidRDefault="005E0451" w:rsidP="00627996">
      <w:r>
        <w:separator/>
      </w:r>
    </w:p>
  </w:endnote>
  <w:endnote w:type="continuationSeparator" w:id="0">
    <w:p w14:paraId="255FC5B1" w14:textId="77777777" w:rsidR="005E0451" w:rsidRDefault="005E0451" w:rsidP="0062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CD6FD" w14:textId="77777777" w:rsidR="005E0451" w:rsidRDefault="005E0451" w:rsidP="00627996">
      <w:r>
        <w:separator/>
      </w:r>
    </w:p>
  </w:footnote>
  <w:footnote w:type="continuationSeparator" w:id="0">
    <w:p w14:paraId="67862BD4" w14:textId="77777777" w:rsidR="005E0451" w:rsidRDefault="005E0451" w:rsidP="00627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3A051" w14:textId="77777777" w:rsidR="00627996" w:rsidRDefault="00627996">
    <w:pPr>
      <w:pStyle w:val="Intestazione"/>
    </w:pPr>
    <w:r w:rsidRPr="00A945F8">
      <w:rPr>
        <w:noProof/>
      </w:rPr>
      <w:drawing>
        <wp:inline distT="0" distB="0" distL="0" distR="0" wp14:anchorId="4297FDB2" wp14:editId="5BEC66E3">
          <wp:extent cx="6116320" cy="970311"/>
          <wp:effectExtent l="0" t="0" r="0" b="1270"/>
          <wp:docPr id="2" name="Immagine 2"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7031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EC"/>
    <w:rsid w:val="001B3759"/>
    <w:rsid w:val="001D0C92"/>
    <w:rsid w:val="00206248"/>
    <w:rsid w:val="00237BEE"/>
    <w:rsid w:val="002B1170"/>
    <w:rsid w:val="002B1507"/>
    <w:rsid w:val="002E31F2"/>
    <w:rsid w:val="003248FA"/>
    <w:rsid w:val="003506C6"/>
    <w:rsid w:val="00370611"/>
    <w:rsid w:val="00372875"/>
    <w:rsid w:val="003C2FC0"/>
    <w:rsid w:val="004E409A"/>
    <w:rsid w:val="00537C70"/>
    <w:rsid w:val="00595991"/>
    <w:rsid w:val="005E0451"/>
    <w:rsid w:val="006006AA"/>
    <w:rsid w:val="00627996"/>
    <w:rsid w:val="00656CC5"/>
    <w:rsid w:val="00734687"/>
    <w:rsid w:val="00986D90"/>
    <w:rsid w:val="009D1104"/>
    <w:rsid w:val="009F27EC"/>
    <w:rsid w:val="00AC6BB0"/>
    <w:rsid w:val="00BF5D58"/>
    <w:rsid w:val="00D0285A"/>
    <w:rsid w:val="00D41E98"/>
    <w:rsid w:val="00D64E46"/>
    <w:rsid w:val="00DB4B99"/>
    <w:rsid w:val="00F445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7C4BC"/>
  <w14:defaultImageDpi w14:val="32767"/>
  <w15:chartTrackingRefBased/>
  <w15:docId w15:val="{0D396238-AB16-4B4D-83B2-F6752D63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3506C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F27E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627996"/>
    <w:pPr>
      <w:tabs>
        <w:tab w:val="center" w:pos="4819"/>
        <w:tab w:val="right" w:pos="9638"/>
      </w:tabs>
    </w:pPr>
  </w:style>
  <w:style w:type="character" w:customStyle="1" w:styleId="IntestazioneCarattere">
    <w:name w:val="Intestazione Carattere"/>
    <w:basedOn w:val="Carpredefinitoparagrafo"/>
    <w:link w:val="Intestazione"/>
    <w:uiPriority w:val="99"/>
    <w:rsid w:val="00627996"/>
  </w:style>
  <w:style w:type="paragraph" w:styleId="Pidipagina">
    <w:name w:val="footer"/>
    <w:basedOn w:val="Normale"/>
    <w:link w:val="PidipaginaCarattere"/>
    <w:uiPriority w:val="99"/>
    <w:unhideWhenUsed/>
    <w:rsid w:val="00627996"/>
    <w:pPr>
      <w:tabs>
        <w:tab w:val="center" w:pos="4819"/>
        <w:tab w:val="right" w:pos="9638"/>
      </w:tabs>
    </w:pPr>
  </w:style>
  <w:style w:type="character" w:customStyle="1" w:styleId="PidipaginaCarattere">
    <w:name w:val="Piè di pagina Carattere"/>
    <w:basedOn w:val="Carpredefinitoparagrafo"/>
    <w:link w:val="Pidipagina"/>
    <w:uiPriority w:val="99"/>
    <w:rsid w:val="00627996"/>
  </w:style>
  <w:style w:type="paragraph" w:customStyle="1" w:styleId="Default">
    <w:name w:val="Default"/>
    <w:rsid w:val="003506C6"/>
    <w:pPr>
      <w:autoSpaceDE w:val="0"/>
      <w:autoSpaceDN w:val="0"/>
      <w:adjustRightInd w:val="0"/>
    </w:pPr>
    <w:rPr>
      <w:rFonts w:ascii="Calibri" w:eastAsia="Calibri" w:hAnsi="Calibri" w:cs="Calibri"/>
      <w:color w:val="000000"/>
    </w:rPr>
  </w:style>
  <w:style w:type="paragraph" w:customStyle="1" w:styleId="p1">
    <w:name w:val="p1"/>
    <w:basedOn w:val="Normale"/>
    <w:rsid w:val="00D64E46"/>
    <w:rPr>
      <w:rFonts w:ascii="Calibri" w:hAnsi="Calibri" w:cs="Calibri"/>
      <w:sz w:val="22"/>
      <w:szCs w:val="22"/>
      <w:lang w:eastAsia="it-IT"/>
    </w:rPr>
  </w:style>
  <w:style w:type="paragraph" w:customStyle="1" w:styleId="p2">
    <w:name w:val="p2"/>
    <w:basedOn w:val="Normale"/>
    <w:rsid w:val="00D64E46"/>
    <w:rPr>
      <w:rFonts w:ascii="Calibri" w:hAnsi="Calibri" w:cs="Calibri"/>
      <w:sz w:val="22"/>
      <w:szCs w:val="22"/>
      <w:lang w:eastAsia="it-IT"/>
    </w:rPr>
  </w:style>
  <w:style w:type="character" w:customStyle="1" w:styleId="apple-converted-space">
    <w:name w:val="apple-converted-space"/>
    <w:basedOn w:val="Carpredefinitoparagrafo"/>
    <w:rsid w:val="00D64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774916">
      <w:bodyDiv w:val="1"/>
      <w:marLeft w:val="0"/>
      <w:marRight w:val="0"/>
      <w:marTop w:val="0"/>
      <w:marBottom w:val="0"/>
      <w:divBdr>
        <w:top w:val="none" w:sz="0" w:space="0" w:color="auto"/>
        <w:left w:val="none" w:sz="0" w:space="0" w:color="auto"/>
        <w:bottom w:val="none" w:sz="0" w:space="0" w:color="auto"/>
        <w:right w:val="none" w:sz="0" w:space="0" w:color="auto"/>
      </w:divBdr>
    </w:div>
    <w:div w:id="2075006483">
      <w:bodyDiv w:val="1"/>
      <w:marLeft w:val="0"/>
      <w:marRight w:val="0"/>
      <w:marTop w:val="0"/>
      <w:marBottom w:val="0"/>
      <w:divBdr>
        <w:top w:val="none" w:sz="0" w:space="0" w:color="auto"/>
        <w:left w:val="none" w:sz="0" w:space="0" w:color="auto"/>
        <w:bottom w:val="none" w:sz="0" w:space="0" w:color="auto"/>
        <w:right w:val="none" w:sz="0" w:space="0" w:color="auto"/>
      </w:divBdr>
      <w:divsChild>
        <w:div w:id="1597907069">
          <w:marLeft w:val="0"/>
          <w:marRight w:val="0"/>
          <w:marTop w:val="0"/>
          <w:marBottom w:val="0"/>
          <w:divBdr>
            <w:top w:val="none" w:sz="0" w:space="0" w:color="auto"/>
            <w:left w:val="none" w:sz="0" w:space="0" w:color="auto"/>
            <w:bottom w:val="none" w:sz="0" w:space="0" w:color="auto"/>
            <w:right w:val="none" w:sz="0" w:space="0" w:color="auto"/>
          </w:divBdr>
          <w:divsChild>
            <w:div w:id="163478436">
              <w:marLeft w:val="0"/>
              <w:marRight w:val="0"/>
              <w:marTop w:val="0"/>
              <w:marBottom w:val="0"/>
              <w:divBdr>
                <w:top w:val="none" w:sz="0" w:space="0" w:color="auto"/>
                <w:left w:val="none" w:sz="0" w:space="0" w:color="auto"/>
                <w:bottom w:val="none" w:sz="0" w:space="0" w:color="auto"/>
                <w:right w:val="none" w:sz="0" w:space="0" w:color="auto"/>
              </w:divBdr>
              <w:divsChild>
                <w:div w:id="16645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07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451</Words>
  <Characters>2575</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Mastrogiacomo Tiziana</cp:lastModifiedBy>
  <cp:revision>5</cp:revision>
  <dcterms:created xsi:type="dcterms:W3CDTF">2020-11-21T09:53:00Z</dcterms:created>
  <dcterms:modified xsi:type="dcterms:W3CDTF">2020-11-23T13:51:00Z</dcterms:modified>
</cp:coreProperties>
</file>