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722B" w14:textId="77777777" w:rsidR="00210D0F" w:rsidRPr="00AE2556" w:rsidRDefault="00210D0F" w:rsidP="00AE2556">
      <w:pPr>
        <w:jc w:val="both"/>
        <w:rPr>
          <w:rFonts w:ascii="Arial" w:eastAsia="Times New Roman" w:hAnsi="Arial" w:cs="Arial"/>
          <w:b/>
          <w:bCs/>
          <w:color w:val="000000"/>
        </w:rPr>
      </w:pPr>
    </w:p>
    <w:p w14:paraId="54E42934" w14:textId="44CA67B9" w:rsidR="00210D0F" w:rsidRPr="000D4341" w:rsidRDefault="00210D0F" w:rsidP="000D4341">
      <w:pPr>
        <w:jc w:val="center"/>
        <w:rPr>
          <w:rFonts w:ascii="Arial" w:eastAsia="Times New Roman" w:hAnsi="Arial" w:cs="Arial"/>
          <w:color w:val="000000"/>
          <w:sz w:val="22"/>
          <w:szCs w:val="22"/>
          <w:u w:val="single"/>
        </w:rPr>
      </w:pPr>
      <w:bookmarkStart w:id="0" w:name="_Hlk100827596"/>
      <w:r w:rsidRPr="000D4341">
        <w:rPr>
          <w:rFonts w:ascii="Arial" w:eastAsia="Times New Roman" w:hAnsi="Arial" w:cs="Arial"/>
          <w:b/>
          <w:bCs/>
          <w:color w:val="000000"/>
          <w:sz w:val="22"/>
          <w:szCs w:val="22"/>
          <w:u w:val="single"/>
        </w:rPr>
        <w:t>COMUNICATO STAMPA</w:t>
      </w:r>
    </w:p>
    <w:p w14:paraId="2E42D90F" w14:textId="77777777" w:rsidR="00C95C0A" w:rsidRPr="000D4341" w:rsidRDefault="00C95C0A" w:rsidP="000D4341">
      <w:pPr>
        <w:jc w:val="center"/>
        <w:rPr>
          <w:rFonts w:ascii="Arial" w:hAnsi="Arial" w:cs="Arial"/>
          <w:b/>
          <w:bCs/>
          <w:color w:val="000000"/>
          <w:sz w:val="22"/>
          <w:szCs w:val="22"/>
        </w:rPr>
      </w:pPr>
    </w:p>
    <w:bookmarkEnd w:id="0"/>
    <w:p w14:paraId="3CEA6998" w14:textId="4377EA76" w:rsidR="000D4341" w:rsidRPr="000D4341" w:rsidRDefault="000D4341" w:rsidP="000D4341">
      <w:pPr>
        <w:jc w:val="center"/>
        <w:rPr>
          <w:rFonts w:ascii="Arial" w:hAnsi="Arial" w:cs="Arial"/>
          <w:color w:val="000000"/>
          <w:sz w:val="22"/>
          <w:szCs w:val="22"/>
        </w:rPr>
      </w:pPr>
      <w:r w:rsidRPr="000D4341">
        <w:rPr>
          <w:rFonts w:ascii="Arial" w:hAnsi="Arial" w:cs="Arial"/>
          <w:b/>
          <w:bCs/>
          <w:color w:val="000000"/>
          <w:sz w:val="22"/>
          <w:szCs w:val="22"/>
        </w:rPr>
        <w:t>SOCIETA’ DI CAPITALI: COMMERCIALISTI, SERVE LIMITE QUANTITATIVO ALLA RESPONSABILITA’ DEGLI ORGANI DI CONTROLLO</w:t>
      </w:r>
    </w:p>
    <w:p w14:paraId="07E1BEB8" w14:textId="77777777" w:rsidR="000D4341" w:rsidRPr="000D4341" w:rsidRDefault="000D4341" w:rsidP="000D4341">
      <w:pPr>
        <w:jc w:val="both"/>
        <w:rPr>
          <w:rFonts w:ascii="Arial" w:hAnsi="Arial" w:cs="Arial"/>
          <w:color w:val="000000"/>
          <w:sz w:val="22"/>
          <w:szCs w:val="22"/>
        </w:rPr>
      </w:pPr>
      <w:r w:rsidRPr="000D4341">
        <w:rPr>
          <w:rFonts w:ascii="Arial" w:hAnsi="Arial" w:cs="Arial"/>
          <w:b/>
          <w:bCs/>
          <w:color w:val="000000"/>
          <w:sz w:val="22"/>
          <w:szCs w:val="22"/>
        </w:rPr>
        <w:t> </w:t>
      </w:r>
    </w:p>
    <w:p w14:paraId="7A5E4BCB" w14:textId="77777777" w:rsidR="000D4341" w:rsidRPr="000D4341" w:rsidRDefault="000D4341" w:rsidP="000D4341">
      <w:pPr>
        <w:jc w:val="both"/>
        <w:rPr>
          <w:rFonts w:ascii="Arial" w:hAnsi="Arial" w:cs="Arial"/>
          <w:color w:val="000000"/>
          <w:sz w:val="22"/>
          <w:szCs w:val="22"/>
        </w:rPr>
      </w:pPr>
      <w:r w:rsidRPr="000D4341">
        <w:rPr>
          <w:rFonts w:ascii="Arial" w:hAnsi="Arial" w:cs="Arial"/>
          <w:b/>
          <w:bCs/>
          <w:color w:val="000000"/>
          <w:sz w:val="22"/>
          <w:szCs w:val="22"/>
        </w:rPr>
        <w:t>De Nuccio al Ministero della Giustizia: “Effetti dilanianti per i professionisti componenti dei collegi sindacali anche laddove alla fine si dimostrino incolpevoli, si apra un tavolo di confronto” </w:t>
      </w:r>
    </w:p>
    <w:p w14:paraId="0E8E985F" w14:textId="77777777" w:rsidR="000D4341" w:rsidRPr="000D4341" w:rsidRDefault="000D4341" w:rsidP="000D4341">
      <w:pPr>
        <w:jc w:val="both"/>
        <w:rPr>
          <w:rFonts w:ascii="Arial" w:hAnsi="Arial" w:cs="Arial"/>
          <w:color w:val="000000"/>
          <w:sz w:val="22"/>
          <w:szCs w:val="22"/>
        </w:rPr>
      </w:pPr>
      <w:r w:rsidRPr="000D4341">
        <w:rPr>
          <w:rFonts w:ascii="Arial" w:hAnsi="Arial" w:cs="Arial"/>
          <w:color w:val="000000"/>
          <w:sz w:val="22"/>
          <w:szCs w:val="22"/>
        </w:rPr>
        <w:t> </w:t>
      </w:r>
    </w:p>
    <w:p w14:paraId="0F781E1A" w14:textId="3830B67E" w:rsidR="000D4341" w:rsidRPr="000D4341" w:rsidRDefault="000D4341" w:rsidP="000D4341">
      <w:pPr>
        <w:jc w:val="both"/>
        <w:rPr>
          <w:rFonts w:ascii="Arial" w:hAnsi="Arial" w:cs="Arial"/>
          <w:color w:val="000000"/>
          <w:sz w:val="22"/>
          <w:szCs w:val="22"/>
        </w:rPr>
      </w:pPr>
      <w:r w:rsidRPr="000D4341">
        <w:rPr>
          <w:rFonts w:ascii="Arial" w:hAnsi="Arial" w:cs="Arial"/>
          <w:i/>
          <w:iCs/>
          <w:color w:val="000000"/>
          <w:sz w:val="22"/>
          <w:szCs w:val="22"/>
        </w:rPr>
        <w:t>Roma, 20 giugno 2022 –</w:t>
      </w:r>
      <w:r w:rsidRPr="000D4341">
        <w:rPr>
          <w:rFonts w:ascii="Arial" w:hAnsi="Arial" w:cs="Arial"/>
          <w:color w:val="000000"/>
          <w:sz w:val="22"/>
          <w:szCs w:val="22"/>
        </w:rPr>
        <w:t xml:space="preserve"> Revisionare la </w:t>
      </w:r>
      <w:r w:rsidRPr="000D4341">
        <w:rPr>
          <w:rFonts w:ascii="Arial" w:hAnsi="Arial" w:cs="Arial"/>
          <w:b/>
          <w:bCs/>
          <w:color w:val="000000"/>
          <w:sz w:val="22"/>
          <w:szCs w:val="22"/>
        </w:rPr>
        <w:t>responsabilità civile degli organi di controllo delle società di capitali</w:t>
      </w:r>
      <w:r w:rsidRPr="000D4341">
        <w:rPr>
          <w:rFonts w:ascii="Arial" w:hAnsi="Arial" w:cs="Arial"/>
          <w:color w:val="000000"/>
          <w:sz w:val="22"/>
          <w:szCs w:val="22"/>
        </w:rPr>
        <w:t xml:space="preserve"> e introdurre una sua migliore </w:t>
      </w:r>
      <w:r w:rsidRPr="000D4341">
        <w:rPr>
          <w:rFonts w:ascii="Arial" w:hAnsi="Arial" w:cs="Arial"/>
          <w:b/>
          <w:bCs/>
          <w:color w:val="000000"/>
          <w:sz w:val="22"/>
          <w:szCs w:val="22"/>
        </w:rPr>
        <w:t>delimitazione</w:t>
      </w:r>
      <w:r w:rsidRPr="000D4341">
        <w:rPr>
          <w:rFonts w:ascii="Arial" w:hAnsi="Arial" w:cs="Arial"/>
          <w:color w:val="000000"/>
          <w:sz w:val="22"/>
          <w:szCs w:val="22"/>
        </w:rPr>
        <w:t xml:space="preserve">. </w:t>
      </w:r>
      <w:r>
        <w:rPr>
          <w:rFonts w:ascii="Arial" w:hAnsi="Arial" w:cs="Arial"/>
          <w:color w:val="000000"/>
          <w:sz w:val="22"/>
          <w:szCs w:val="22"/>
        </w:rPr>
        <w:t xml:space="preserve">È </w:t>
      </w:r>
      <w:r w:rsidRPr="000D4341">
        <w:rPr>
          <w:rFonts w:ascii="Arial" w:hAnsi="Arial" w:cs="Arial"/>
          <w:color w:val="000000"/>
          <w:sz w:val="22"/>
          <w:szCs w:val="22"/>
        </w:rPr>
        <w:t xml:space="preserve">la richiesta sottoposta al </w:t>
      </w:r>
      <w:r w:rsidRPr="000D4341">
        <w:rPr>
          <w:rFonts w:ascii="Arial" w:hAnsi="Arial" w:cs="Arial"/>
          <w:b/>
          <w:bCs/>
          <w:color w:val="000000"/>
          <w:sz w:val="22"/>
          <w:szCs w:val="22"/>
        </w:rPr>
        <w:t>Ministero della Giustizia</w:t>
      </w:r>
      <w:r w:rsidRPr="000D4341">
        <w:rPr>
          <w:rFonts w:ascii="Arial" w:hAnsi="Arial" w:cs="Arial"/>
          <w:color w:val="000000"/>
          <w:sz w:val="22"/>
          <w:szCs w:val="22"/>
        </w:rPr>
        <w:t xml:space="preserve"> dal Consiglio nazionale dei </w:t>
      </w:r>
      <w:r w:rsidRPr="000D4341">
        <w:rPr>
          <w:rFonts w:ascii="Arial" w:hAnsi="Arial" w:cs="Arial"/>
          <w:b/>
          <w:bCs/>
          <w:color w:val="000000"/>
          <w:sz w:val="22"/>
          <w:szCs w:val="22"/>
        </w:rPr>
        <w:t>commercialisti</w:t>
      </w:r>
      <w:r w:rsidRPr="000D4341">
        <w:rPr>
          <w:rFonts w:ascii="Arial" w:hAnsi="Arial" w:cs="Arial"/>
          <w:color w:val="000000"/>
          <w:sz w:val="22"/>
          <w:szCs w:val="22"/>
        </w:rPr>
        <w:t xml:space="preserve">. La proposta della categoria è formulata anche “nell’ottica della riforma delle norme penali </w:t>
      </w:r>
      <w:r w:rsidRPr="000D4341">
        <w:rPr>
          <w:rFonts w:ascii="Arial" w:hAnsi="Arial" w:cs="Arial"/>
          <w:b/>
          <w:bCs/>
          <w:color w:val="000000"/>
          <w:sz w:val="22"/>
          <w:szCs w:val="22"/>
        </w:rPr>
        <w:t>fallimentari</w:t>
      </w:r>
      <w:r w:rsidRPr="000D4341">
        <w:rPr>
          <w:rFonts w:ascii="Arial" w:hAnsi="Arial" w:cs="Arial"/>
          <w:color w:val="000000"/>
          <w:sz w:val="22"/>
          <w:szCs w:val="22"/>
        </w:rPr>
        <w:t xml:space="preserve">” e dovrebbero portare all’introduzione “di un </w:t>
      </w:r>
      <w:r w:rsidRPr="000D4341">
        <w:rPr>
          <w:rFonts w:ascii="Arial" w:hAnsi="Arial" w:cs="Arial"/>
          <w:b/>
          <w:bCs/>
          <w:color w:val="000000"/>
          <w:sz w:val="22"/>
          <w:szCs w:val="22"/>
        </w:rPr>
        <w:t>limite quantitativo</w:t>
      </w:r>
      <w:r w:rsidRPr="000D4341">
        <w:rPr>
          <w:rFonts w:ascii="Arial" w:hAnsi="Arial" w:cs="Arial"/>
          <w:color w:val="000000"/>
          <w:sz w:val="22"/>
          <w:szCs w:val="22"/>
        </w:rPr>
        <w:t xml:space="preserve">”. Sul tema, il presidente nazionale della categoria, </w:t>
      </w:r>
      <w:r w:rsidRPr="000D4341">
        <w:rPr>
          <w:rFonts w:ascii="Arial" w:hAnsi="Arial" w:cs="Arial"/>
          <w:b/>
          <w:bCs/>
          <w:color w:val="000000"/>
          <w:sz w:val="22"/>
          <w:szCs w:val="22"/>
        </w:rPr>
        <w:t>Elbano de Nuccio</w:t>
      </w:r>
      <w:r w:rsidRPr="000D4341">
        <w:rPr>
          <w:rFonts w:ascii="Arial" w:hAnsi="Arial" w:cs="Arial"/>
          <w:color w:val="000000"/>
          <w:sz w:val="22"/>
          <w:szCs w:val="22"/>
        </w:rPr>
        <w:t xml:space="preserve">, ha inviato un’istanza alla Ministra </w:t>
      </w:r>
      <w:r w:rsidRPr="000D4341">
        <w:rPr>
          <w:rFonts w:ascii="Arial" w:hAnsi="Arial" w:cs="Arial"/>
          <w:b/>
          <w:bCs/>
          <w:color w:val="000000"/>
          <w:sz w:val="22"/>
          <w:szCs w:val="22"/>
        </w:rPr>
        <w:t>Marta Cartabia</w:t>
      </w:r>
      <w:r w:rsidRPr="000D4341">
        <w:rPr>
          <w:rFonts w:ascii="Arial" w:hAnsi="Arial" w:cs="Arial"/>
          <w:color w:val="000000"/>
          <w:sz w:val="22"/>
          <w:szCs w:val="22"/>
        </w:rPr>
        <w:t xml:space="preserve"> e al Sottosegretario </w:t>
      </w:r>
      <w:r w:rsidRPr="000D4341">
        <w:rPr>
          <w:rFonts w:ascii="Arial" w:hAnsi="Arial" w:cs="Arial"/>
          <w:b/>
          <w:bCs/>
          <w:color w:val="000000"/>
          <w:sz w:val="22"/>
          <w:szCs w:val="22"/>
        </w:rPr>
        <w:t>Francesco Paolo Sisto</w:t>
      </w:r>
      <w:r w:rsidRPr="000D4341">
        <w:rPr>
          <w:rFonts w:ascii="Arial" w:hAnsi="Arial" w:cs="Arial"/>
          <w:color w:val="000000"/>
          <w:sz w:val="22"/>
          <w:szCs w:val="22"/>
        </w:rPr>
        <w:t xml:space="preserve">, nella quale si chiede anche l’apertura di un </w:t>
      </w:r>
      <w:r w:rsidRPr="000D4341">
        <w:rPr>
          <w:rFonts w:ascii="Arial" w:hAnsi="Arial" w:cs="Arial"/>
          <w:b/>
          <w:bCs/>
          <w:color w:val="000000"/>
          <w:sz w:val="22"/>
          <w:szCs w:val="22"/>
        </w:rPr>
        <w:t>tavolo tecnico</w:t>
      </w:r>
      <w:r w:rsidRPr="000D4341">
        <w:rPr>
          <w:rFonts w:ascii="Arial" w:hAnsi="Arial" w:cs="Arial"/>
          <w:color w:val="000000"/>
          <w:sz w:val="22"/>
          <w:szCs w:val="22"/>
        </w:rPr>
        <w:t xml:space="preserve"> di confronto sulla materia. “Non si tratta - puntualizza de Nuccio - di una tensione ad </w:t>
      </w:r>
      <w:r w:rsidRPr="000D4341">
        <w:rPr>
          <w:rFonts w:ascii="Arial" w:hAnsi="Arial" w:cs="Arial"/>
          <w:b/>
          <w:bCs/>
          <w:color w:val="000000"/>
          <w:sz w:val="22"/>
          <w:szCs w:val="22"/>
        </w:rPr>
        <w:t>evitare responsabilità</w:t>
      </w:r>
      <w:r w:rsidRPr="000D4341">
        <w:rPr>
          <w:rFonts w:ascii="Arial" w:hAnsi="Arial" w:cs="Arial"/>
          <w:color w:val="000000"/>
          <w:sz w:val="22"/>
          <w:szCs w:val="22"/>
        </w:rPr>
        <w:t xml:space="preserve"> per il proprio operato, bensì della necessità per il professionista coinvolto di poter agire in un </w:t>
      </w:r>
      <w:r w:rsidRPr="000D4341">
        <w:rPr>
          <w:rFonts w:ascii="Arial" w:hAnsi="Arial" w:cs="Arial"/>
          <w:b/>
          <w:bCs/>
          <w:color w:val="000000"/>
          <w:sz w:val="22"/>
          <w:szCs w:val="22"/>
        </w:rPr>
        <w:t>perimetro leggibile dei confini</w:t>
      </w:r>
      <w:r w:rsidRPr="000D4341">
        <w:rPr>
          <w:rFonts w:ascii="Arial" w:hAnsi="Arial" w:cs="Arial"/>
          <w:color w:val="000000"/>
          <w:sz w:val="22"/>
          <w:szCs w:val="22"/>
        </w:rPr>
        <w:t xml:space="preserve"> in cui la discrezionalità del proprio operato sia ritenuta legittima sul momento e anche successivamente”. Del resto, sottolinea, “in questa direzione si sono espresse recentemente anche le </w:t>
      </w:r>
      <w:r w:rsidRPr="000D4341">
        <w:rPr>
          <w:rFonts w:ascii="Arial" w:hAnsi="Arial" w:cs="Arial"/>
          <w:b/>
          <w:bCs/>
          <w:color w:val="000000"/>
          <w:sz w:val="22"/>
          <w:szCs w:val="22"/>
        </w:rPr>
        <w:t>Commissioni Giustizia di Camera e Senato</w:t>
      </w:r>
      <w:r w:rsidRPr="000D4341">
        <w:rPr>
          <w:rFonts w:ascii="Arial" w:hAnsi="Arial" w:cs="Arial"/>
          <w:color w:val="000000"/>
          <w:sz w:val="22"/>
          <w:szCs w:val="22"/>
        </w:rPr>
        <w:t>”.  </w:t>
      </w:r>
    </w:p>
    <w:p w14:paraId="0E2777A8" w14:textId="77777777" w:rsidR="000D4341" w:rsidRPr="000D4341" w:rsidRDefault="000D4341" w:rsidP="000D4341">
      <w:pPr>
        <w:jc w:val="both"/>
        <w:rPr>
          <w:rFonts w:ascii="Arial" w:hAnsi="Arial" w:cs="Arial"/>
          <w:color w:val="000000"/>
          <w:sz w:val="22"/>
          <w:szCs w:val="22"/>
        </w:rPr>
      </w:pPr>
      <w:r w:rsidRPr="000D4341">
        <w:rPr>
          <w:rFonts w:ascii="Arial" w:hAnsi="Arial" w:cs="Arial"/>
          <w:color w:val="000000"/>
          <w:sz w:val="22"/>
          <w:szCs w:val="22"/>
        </w:rPr>
        <w:t> </w:t>
      </w:r>
    </w:p>
    <w:p w14:paraId="1B2621F4" w14:textId="0CB1F1CB" w:rsidR="000D4341" w:rsidRPr="000D4341" w:rsidRDefault="000D4341" w:rsidP="000D4341">
      <w:pPr>
        <w:jc w:val="both"/>
        <w:rPr>
          <w:rFonts w:ascii="Arial" w:hAnsi="Arial" w:cs="Arial"/>
          <w:color w:val="000000"/>
          <w:sz w:val="22"/>
          <w:szCs w:val="22"/>
        </w:rPr>
      </w:pPr>
      <w:r w:rsidRPr="000D4341">
        <w:rPr>
          <w:rFonts w:ascii="Arial" w:hAnsi="Arial" w:cs="Arial"/>
          <w:color w:val="000000"/>
          <w:sz w:val="22"/>
          <w:szCs w:val="22"/>
        </w:rPr>
        <w:t xml:space="preserve">“La responsabilità illimitata – spiega de Nuccio </w:t>
      </w:r>
      <w:r>
        <w:rPr>
          <w:rFonts w:ascii="Arial" w:hAnsi="Arial" w:cs="Arial"/>
          <w:color w:val="000000"/>
          <w:sz w:val="22"/>
          <w:szCs w:val="22"/>
        </w:rPr>
        <w:t>–</w:t>
      </w:r>
      <w:r w:rsidRPr="000D4341">
        <w:rPr>
          <w:rFonts w:ascii="Arial" w:hAnsi="Arial" w:cs="Arial"/>
          <w:color w:val="000000"/>
          <w:sz w:val="22"/>
          <w:szCs w:val="22"/>
        </w:rPr>
        <w:t xml:space="preserve"> sta progressivamente </w:t>
      </w:r>
      <w:r w:rsidRPr="000D4341">
        <w:rPr>
          <w:rFonts w:ascii="Arial" w:hAnsi="Arial" w:cs="Arial"/>
          <w:b/>
          <w:bCs/>
          <w:color w:val="000000"/>
          <w:sz w:val="22"/>
          <w:szCs w:val="22"/>
        </w:rPr>
        <w:t>allontanando</w:t>
      </w:r>
      <w:r w:rsidRPr="000D4341">
        <w:rPr>
          <w:rFonts w:ascii="Arial" w:hAnsi="Arial" w:cs="Arial"/>
          <w:color w:val="000000"/>
          <w:sz w:val="22"/>
          <w:szCs w:val="22"/>
        </w:rPr>
        <w:t xml:space="preserve"> dagli incarichi di sindaco tutti quei professionisti che non intendono esporre la propria </w:t>
      </w:r>
      <w:r w:rsidRPr="000D4341">
        <w:rPr>
          <w:rFonts w:ascii="Arial" w:hAnsi="Arial" w:cs="Arial"/>
          <w:b/>
          <w:bCs/>
          <w:color w:val="000000"/>
          <w:sz w:val="22"/>
          <w:szCs w:val="22"/>
        </w:rPr>
        <w:t>reputazione professionale</w:t>
      </w:r>
      <w:r w:rsidRPr="000D4341">
        <w:rPr>
          <w:rFonts w:ascii="Arial" w:hAnsi="Arial" w:cs="Arial"/>
          <w:color w:val="000000"/>
          <w:sz w:val="22"/>
          <w:szCs w:val="22"/>
        </w:rPr>
        <w:t xml:space="preserve"> alla azione risarcitoria. La attuale assenza di qualunque limite ha prodotto e produce reiterate </w:t>
      </w:r>
      <w:r w:rsidRPr="000D4341">
        <w:rPr>
          <w:rFonts w:ascii="Arial" w:hAnsi="Arial" w:cs="Arial"/>
          <w:b/>
          <w:bCs/>
          <w:color w:val="000000"/>
          <w:sz w:val="22"/>
          <w:szCs w:val="22"/>
        </w:rPr>
        <w:t>situazioni distorte</w:t>
      </w:r>
      <w:r w:rsidRPr="000D4341">
        <w:rPr>
          <w:rFonts w:ascii="Arial" w:hAnsi="Arial" w:cs="Arial"/>
          <w:color w:val="000000"/>
          <w:sz w:val="22"/>
          <w:szCs w:val="22"/>
        </w:rPr>
        <w:t xml:space="preserve">, soprattutto in sede di </w:t>
      </w:r>
      <w:r w:rsidRPr="000D4341">
        <w:rPr>
          <w:rFonts w:ascii="Arial" w:hAnsi="Arial" w:cs="Arial"/>
          <w:b/>
          <w:bCs/>
          <w:color w:val="000000"/>
          <w:sz w:val="22"/>
          <w:szCs w:val="22"/>
        </w:rPr>
        <w:t>procedure concorsuali</w:t>
      </w:r>
      <w:r w:rsidRPr="000D4341">
        <w:rPr>
          <w:rFonts w:ascii="Arial" w:hAnsi="Arial" w:cs="Arial"/>
          <w:color w:val="000000"/>
          <w:sz w:val="22"/>
          <w:szCs w:val="22"/>
        </w:rPr>
        <w:t xml:space="preserve">, laddove si riscontra troppo spesso che una delle principali fonti dell’attivo è data dal presumibile realizzo delle azioni risarcitorie esperite nei confronti degli unici soggetti che, per legge, sono assistiti da </w:t>
      </w:r>
      <w:r w:rsidRPr="000D4341">
        <w:rPr>
          <w:rFonts w:ascii="Arial" w:hAnsi="Arial" w:cs="Arial"/>
          <w:b/>
          <w:bCs/>
          <w:color w:val="000000"/>
          <w:sz w:val="22"/>
          <w:szCs w:val="22"/>
        </w:rPr>
        <w:t>copertura assicurativa</w:t>
      </w:r>
      <w:r w:rsidRPr="000D4341">
        <w:rPr>
          <w:rFonts w:ascii="Arial" w:hAnsi="Arial" w:cs="Arial"/>
          <w:color w:val="000000"/>
          <w:sz w:val="22"/>
          <w:szCs w:val="22"/>
        </w:rPr>
        <w:t>: i professionisti componenti degli organi di controllo”.  </w:t>
      </w:r>
    </w:p>
    <w:p w14:paraId="20F150C7" w14:textId="77777777" w:rsidR="000D4341" w:rsidRPr="000D4341" w:rsidRDefault="000D4341" w:rsidP="000D4341">
      <w:pPr>
        <w:jc w:val="both"/>
        <w:rPr>
          <w:rFonts w:ascii="Arial" w:hAnsi="Arial" w:cs="Arial"/>
          <w:color w:val="000000"/>
          <w:sz w:val="22"/>
          <w:szCs w:val="22"/>
        </w:rPr>
      </w:pPr>
      <w:r w:rsidRPr="000D4341">
        <w:rPr>
          <w:rFonts w:ascii="Arial" w:hAnsi="Arial" w:cs="Arial"/>
          <w:color w:val="000000"/>
          <w:sz w:val="22"/>
          <w:szCs w:val="22"/>
        </w:rPr>
        <w:t> </w:t>
      </w:r>
    </w:p>
    <w:p w14:paraId="64B4B28A" w14:textId="77777777" w:rsidR="000D4341" w:rsidRPr="000D4341" w:rsidRDefault="000D4341" w:rsidP="000D4341">
      <w:pPr>
        <w:jc w:val="both"/>
        <w:rPr>
          <w:rFonts w:ascii="Arial" w:hAnsi="Arial" w:cs="Arial"/>
          <w:color w:val="000000"/>
          <w:sz w:val="22"/>
          <w:szCs w:val="22"/>
        </w:rPr>
      </w:pPr>
      <w:r w:rsidRPr="000D4341">
        <w:rPr>
          <w:rFonts w:ascii="Arial" w:hAnsi="Arial" w:cs="Arial"/>
          <w:color w:val="000000"/>
          <w:sz w:val="22"/>
          <w:szCs w:val="22"/>
        </w:rPr>
        <w:t xml:space="preserve">Il presidente dei commercialisti aggiunge che “questo sistema è </w:t>
      </w:r>
      <w:r w:rsidRPr="000D4341">
        <w:rPr>
          <w:rFonts w:ascii="Arial" w:hAnsi="Arial" w:cs="Arial"/>
          <w:b/>
          <w:bCs/>
          <w:color w:val="000000"/>
          <w:sz w:val="22"/>
          <w:szCs w:val="22"/>
        </w:rPr>
        <w:t>incoerente</w:t>
      </w:r>
      <w:r w:rsidRPr="000D4341">
        <w:rPr>
          <w:rFonts w:ascii="Arial" w:hAnsi="Arial" w:cs="Arial"/>
          <w:color w:val="000000"/>
          <w:sz w:val="22"/>
          <w:szCs w:val="22"/>
        </w:rPr>
        <w:t xml:space="preserve"> perché amplia la discrezionalità di azione degli organi di controllo societari per finalità di pubblico interesse affinché </w:t>
      </w:r>
      <w:r w:rsidRPr="000D4341">
        <w:rPr>
          <w:rFonts w:ascii="Arial" w:hAnsi="Arial" w:cs="Arial"/>
          <w:b/>
          <w:bCs/>
          <w:color w:val="000000"/>
          <w:sz w:val="22"/>
          <w:szCs w:val="22"/>
        </w:rPr>
        <w:t>la crisi di un’impresa</w:t>
      </w:r>
      <w:r w:rsidRPr="000D4341">
        <w:rPr>
          <w:rFonts w:ascii="Arial" w:hAnsi="Arial" w:cs="Arial"/>
          <w:color w:val="000000"/>
          <w:sz w:val="22"/>
          <w:szCs w:val="22"/>
        </w:rPr>
        <w:t xml:space="preserve"> emerga quanto prima possibile e nel contempo, però, non ne delimiti il perimetro di responsabilità che in seguito possa essergli ascritta all’esito degli eventi maturati successivamente. Per conseguenza, stanti le attuali prescrizioni normative, addossa la responsabilità illimitata anche agli organi di controllo, che da un lato diventa </w:t>
      </w:r>
      <w:r w:rsidRPr="000D4341">
        <w:rPr>
          <w:rFonts w:ascii="Arial" w:hAnsi="Arial" w:cs="Arial"/>
          <w:b/>
          <w:bCs/>
          <w:color w:val="000000"/>
          <w:sz w:val="22"/>
          <w:szCs w:val="22"/>
        </w:rPr>
        <w:t>estremamente onerosa</w:t>
      </w:r>
      <w:r w:rsidRPr="000D4341">
        <w:rPr>
          <w:rFonts w:ascii="Arial" w:hAnsi="Arial" w:cs="Arial"/>
          <w:color w:val="000000"/>
          <w:sz w:val="22"/>
          <w:szCs w:val="22"/>
        </w:rPr>
        <w:t xml:space="preserve"> in sede civile a causa della </w:t>
      </w:r>
      <w:r w:rsidRPr="000D4341">
        <w:rPr>
          <w:rFonts w:ascii="Arial" w:hAnsi="Arial" w:cs="Arial"/>
          <w:b/>
          <w:bCs/>
          <w:color w:val="000000"/>
          <w:sz w:val="22"/>
          <w:szCs w:val="22"/>
        </w:rPr>
        <w:t>illimitatezza del danno pretendibile</w:t>
      </w:r>
      <w:r w:rsidRPr="000D4341">
        <w:rPr>
          <w:rFonts w:ascii="Arial" w:hAnsi="Arial" w:cs="Arial"/>
          <w:color w:val="000000"/>
          <w:sz w:val="22"/>
          <w:szCs w:val="22"/>
        </w:rPr>
        <w:t xml:space="preserve">, tanto che troppo spesso l’azione risarcitoria è una delle principali componenti dell’attivo della procedura concorsuale che agisce nei confronti del professionista, dall’altro in sede penale la responsabilità illimitata diventa </w:t>
      </w:r>
      <w:r w:rsidRPr="000D4341">
        <w:rPr>
          <w:rFonts w:ascii="Arial" w:hAnsi="Arial" w:cs="Arial"/>
          <w:b/>
          <w:bCs/>
          <w:color w:val="000000"/>
          <w:sz w:val="22"/>
          <w:szCs w:val="22"/>
        </w:rPr>
        <w:t>estremamente lesiva</w:t>
      </w:r>
      <w:r w:rsidRPr="000D4341">
        <w:rPr>
          <w:rFonts w:ascii="Arial" w:hAnsi="Arial" w:cs="Arial"/>
          <w:color w:val="000000"/>
          <w:sz w:val="22"/>
          <w:szCs w:val="22"/>
        </w:rPr>
        <w:t xml:space="preserve"> del professionista fin quando non riesca a dimostrare di non essere colpevole, per il venir meno della </w:t>
      </w:r>
      <w:r w:rsidRPr="000D4341">
        <w:rPr>
          <w:rFonts w:ascii="Arial" w:hAnsi="Arial" w:cs="Arial"/>
          <w:b/>
          <w:bCs/>
          <w:color w:val="000000"/>
          <w:sz w:val="22"/>
          <w:szCs w:val="22"/>
        </w:rPr>
        <w:t>copertura assicurativa</w:t>
      </w:r>
      <w:r w:rsidRPr="000D4341">
        <w:rPr>
          <w:rFonts w:ascii="Arial" w:hAnsi="Arial" w:cs="Arial"/>
          <w:color w:val="000000"/>
          <w:sz w:val="22"/>
          <w:szCs w:val="22"/>
        </w:rPr>
        <w:t xml:space="preserve"> unita alla eccessiva durata dei processi. Infine, troppo spesso l’azione risarcitoria espletata in sede penale è fondata sui medesimi presupposti che fanno perno sugli asseriti “</w:t>
      </w:r>
      <w:r w:rsidRPr="000D4341">
        <w:rPr>
          <w:rFonts w:ascii="Arial" w:hAnsi="Arial" w:cs="Arial"/>
          <w:i/>
          <w:iCs/>
          <w:color w:val="000000"/>
          <w:sz w:val="22"/>
          <w:szCs w:val="22"/>
        </w:rPr>
        <w:t>poteri impeditivi</w:t>
      </w:r>
      <w:r w:rsidRPr="000D4341">
        <w:rPr>
          <w:rFonts w:ascii="Arial" w:hAnsi="Arial" w:cs="Arial"/>
          <w:color w:val="000000"/>
          <w:sz w:val="22"/>
          <w:szCs w:val="22"/>
        </w:rPr>
        <w:t xml:space="preserve">”, ma con </w:t>
      </w:r>
      <w:r w:rsidRPr="000D4341">
        <w:rPr>
          <w:rFonts w:ascii="Arial" w:hAnsi="Arial" w:cs="Arial"/>
          <w:b/>
          <w:bCs/>
          <w:color w:val="000000"/>
          <w:sz w:val="22"/>
          <w:szCs w:val="22"/>
        </w:rPr>
        <w:t>effetti dilanianti per i professionisti</w:t>
      </w:r>
      <w:r w:rsidRPr="000D4341">
        <w:rPr>
          <w:rFonts w:ascii="Arial" w:hAnsi="Arial" w:cs="Arial"/>
          <w:color w:val="000000"/>
          <w:sz w:val="22"/>
          <w:szCs w:val="22"/>
        </w:rPr>
        <w:t xml:space="preserve"> componenti dei collegi sindacali anche laddove alla fine si dimostrino </w:t>
      </w:r>
      <w:r w:rsidRPr="000D4341">
        <w:rPr>
          <w:rFonts w:ascii="Arial" w:hAnsi="Arial" w:cs="Arial"/>
          <w:b/>
          <w:bCs/>
          <w:color w:val="000000"/>
          <w:sz w:val="22"/>
          <w:szCs w:val="22"/>
        </w:rPr>
        <w:t>incolpevoli</w:t>
      </w:r>
      <w:r w:rsidRPr="000D4341">
        <w:rPr>
          <w:rFonts w:ascii="Arial" w:hAnsi="Arial" w:cs="Arial"/>
          <w:color w:val="000000"/>
          <w:sz w:val="22"/>
          <w:szCs w:val="22"/>
        </w:rPr>
        <w:t>”. </w:t>
      </w:r>
    </w:p>
    <w:p w14:paraId="03324695" w14:textId="77777777" w:rsidR="000D4341" w:rsidRPr="000D4341" w:rsidRDefault="000D4341" w:rsidP="000D4341">
      <w:pPr>
        <w:jc w:val="both"/>
        <w:rPr>
          <w:rFonts w:ascii="Arial" w:hAnsi="Arial" w:cs="Arial"/>
          <w:color w:val="000000"/>
          <w:sz w:val="22"/>
          <w:szCs w:val="22"/>
        </w:rPr>
      </w:pPr>
      <w:r w:rsidRPr="000D4341">
        <w:rPr>
          <w:rFonts w:ascii="Arial" w:hAnsi="Arial" w:cs="Arial"/>
          <w:color w:val="000000"/>
          <w:sz w:val="22"/>
          <w:szCs w:val="22"/>
        </w:rPr>
        <w:t> </w:t>
      </w:r>
    </w:p>
    <w:p w14:paraId="088F078B" w14:textId="22A037C6" w:rsidR="00F5014E" w:rsidRPr="000D4341" w:rsidRDefault="000D4341" w:rsidP="000D4341">
      <w:pPr>
        <w:jc w:val="both"/>
        <w:rPr>
          <w:rFonts w:ascii="Arial" w:hAnsi="Arial" w:cs="Arial"/>
          <w:sz w:val="22"/>
          <w:szCs w:val="22"/>
        </w:rPr>
      </w:pPr>
      <w:r w:rsidRPr="000D4341">
        <w:rPr>
          <w:rFonts w:ascii="Arial" w:hAnsi="Arial" w:cs="Arial"/>
          <w:color w:val="000000"/>
          <w:sz w:val="22"/>
          <w:szCs w:val="22"/>
        </w:rPr>
        <w:t xml:space="preserve">“Fermi restando i requisiti di </w:t>
      </w:r>
      <w:r w:rsidRPr="000D4341">
        <w:rPr>
          <w:rFonts w:ascii="Arial" w:hAnsi="Arial" w:cs="Arial"/>
          <w:b/>
          <w:bCs/>
          <w:color w:val="000000"/>
          <w:sz w:val="22"/>
          <w:szCs w:val="22"/>
        </w:rPr>
        <w:t>responsabilità professionale</w:t>
      </w:r>
      <w:r w:rsidRPr="000D4341">
        <w:rPr>
          <w:rFonts w:ascii="Arial" w:hAnsi="Arial" w:cs="Arial"/>
          <w:color w:val="000000"/>
          <w:sz w:val="22"/>
          <w:szCs w:val="22"/>
        </w:rPr>
        <w:t xml:space="preserve">, anche </w:t>
      </w:r>
      <w:r w:rsidRPr="000D4341">
        <w:rPr>
          <w:rFonts w:ascii="Arial" w:hAnsi="Arial" w:cs="Arial"/>
          <w:b/>
          <w:bCs/>
          <w:color w:val="000000"/>
          <w:sz w:val="22"/>
          <w:szCs w:val="22"/>
        </w:rPr>
        <w:t>deontologici</w:t>
      </w:r>
      <w:r w:rsidRPr="000D4341">
        <w:rPr>
          <w:rFonts w:ascii="Arial" w:hAnsi="Arial" w:cs="Arial"/>
          <w:color w:val="000000"/>
          <w:sz w:val="22"/>
          <w:szCs w:val="22"/>
        </w:rPr>
        <w:t xml:space="preserve"> oltre che risarcitori, che debbono restare assolutamente fermo </w:t>
      </w:r>
      <w:r w:rsidRPr="000D4341">
        <w:rPr>
          <w:rFonts w:ascii="Arial" w:hAnsi="Arial" w:cs="Arial"/>
          <w:b/>
          <w:bCs/>
          <w:color w:val="000000"/>
          <w:sz w:val="22"/>
          <w:szCs w:val="22"/>
        </w:rPr>
        <w:t>presidio di legalità</w:t>
      </w:r>
      <w:r w:rsidRPr="000D4341">
        <w:rPr>
          <w:rFonts w:ascii="Arial" w:hAnsi="Arial" w:cs="Arial"/>
          <w:color w:val="000000"/>
          <w:sz w:val="22"/>
          <w:szCs w:val="22"/>
        </w:rPr>
        <w:t xml:space="preserve"> – conclude de Nuccio – chiediamo che venga introdotta una </w:t>
      </w:r>
      <w:r w:rsidRPr="000D4341">
        <w:rPr>
          <w:rFonts w:ascii="Arial" w:hAnsi="Arial" w:cs="Arial"/>
          <w:b/>
          <w:bCs/>
          <w:color w:val="000000"/>
          <w:sz w:val="22"/>
          <w:szCs w:val="22"/>
        </w:rPr>
        <w:t xml:space="preserve">soluzione tecnica </w:t>
      </w:r>
      <w:r w:rsidRPr="000D4341">
        <w:rPr>
          <w:rFonts w:ascii="Arial" w:hAnsi="Arial" w:cs="Arial"/>
          <w:color w:val="000000"/>
          <w:sz w:val="22"/>
          <w:szCs w:val="22"/>
        </w:rPr>
        <w:t xml:space="preserve">per una determinazione quantitativa al danno risarcibile, come già avvenuto nella esperienza di altri Paesi europei, con la tecnica dei </w:t>
      </w:r>
      <w:r w:rsidRPr="000D4341">
        <w:rPr>
          <w:rFonts w:ascii="Arial" w:hAnsi="Arial" w:cs="Arial"/>
          <w:b/>
          <w:bCs/>
          <w:color w:val="000000"/>
          <w:sz w:val="22"/>
          <w:szCs w:val="22"/>
        </w:rPr>
        <w:t>multipli dei compensi attribuiti</w:t>
      </w:r>
      <w:r w:rsidRPr="000D4341">
        <w:rPr>
          <w:rFonts w:ascii="Arial" w:hAnsi="Arial" w:cs="Arial"/>
          <w:color w:val="000000"/>
          <w:sz w:val="22"/>
          <w:szCs w:val="22"/>
        </w:rPr>
        <w:t>”.</w:t>
      </w:r>
    </w:p>
    <w:sectPr w:rsidR="00F5014E" w:rsidRPr="000D4341"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6085B" w14:textId="77777777" w:rsidR="00E36853" w:rsidRDefault="00E36853" w:rsidP="00627996">
      <w:r>
        <w:separator/>
      </w:r>
    </w:p>
  </w:endnote>
  <w:endnote w:type="continuationSeparator" w:id="0">
    <w:p w14:paraId="1416888A" w14:textId="77777777" w:rsidR="00E36853" w:rsidRDefault="00E36853"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6D5E" w14:textId="77777777" w:rsidR="00E36853" w:rsidRDefault="00E36853" w:rsidP="00627996">
      <w:r>
        <w:separator/>
      </w:r>
    </w:p>
  </w:footnote>
  <w:footnote w:type="continuationSeparator" w:id="0">
    <w:p w14:paraId="4DA5D19F" w14:textId="77777777" w:rsidR="00E36853" w:rsidRDefault="00E36853"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572" w14:textId="77777777" w:rsidR="00627996" w:rsidRDefault="00627996">
    <w:pPr>
      <w:pStyle w:val="Intestazione"/>
    </w:pPr>
    <w:r w:rsidRPr="00A945F8">
      <w:rPr>
        <w:noProof/>
      </w:rPr>
      <w:drawing>
        <wp:inline distT="0" distB="0" distL="0" distR="0" wp14:anchorId="3B848DC9" wp14:editId="6740233F">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65EFA"/>
    <w:rsid w:val="000D4341"/>
    <w:rsid w:val="000F2092"/>
    <w:rsid w:val="00103A6A"/>
    <w:rsid w:val="0012750F"/>
    <w:rsid w:val="001777C2"/>
    <w:rsid w:val="00184319"/>
    <w:rsid w:val="001B3759"/>
    <w:rsid w:val="001C217E"/>
    <w:rsid w:val="001C3CCF"/>
    <w:rsid w:val="001D0C92"/>
    <w:rsid w:val="00206248"/>
    <w:rsid w:val="00210D0F"/>
    <w:rsid w:val="00237BEE"/>
    <w:rsid w:val="002B1170"/>
    <w:rsid w:val="002B1507"/>
    <w:rsid w:val="002E31F2"/>
    <w:rsid w:val="003248FA"/>
    <w:rsid w:val="003367D1"/>
    <w:rsid w:val="00365A9B"/>
    <w:rsid w:val="003C2FC0"/>
    <w:rsid w:val="003D617D"/>
    <w:rsid w:val="003E0594"/>
    <w:rsid w:val="00433438"/>
    <w:rsid w:val="004E7923"/>
    <w:rsid w:val="00595991"/>
    <w:rsid w:val="00612609"/>
    <w:rsid w:val="00627996"/>
    <w:rsid w:val="00656CC5"/>
    <w:rsid w:val="00667303"/>
    <w:rsid w:val="0071223C"/>
    <w:rsid w:val="00734687"/>
    <w:rsid w:val="00787DC5"/>
    <w:rsid w:val="008D2C7A"/>
    <w:rsid w:val="00986D90"/>
    <w:rsid w:val="009A3D78"/>
    <w:rsid w:val="009D1104"/>
    <w:rsid w:val="009F27EC"/>
    <w:rsid w:val="00A00101"/>
    <w:rsid w:val="00AC6BB0"/>
    <w:rsid w:val="00AE2556"/>
    <w:rsid w:val="00BD4233"/>
    <w:rsid w:val="00C32042"/>
    <w:rsid w:val="00C95C0A"/>
    <w:rsid w:val="00CB75EA"/>
    <w:rsid w:val="00CD5A5F"/>
    <w:rsid w:val="00CE681E"/>
    <w:rsid w:val="00CF0355"/>
    <w:rsid w:val="00D0285A"/>
    <w:rsid w:val="00D41E98"/>
    <w:rsid w:val="00DB4B99"/>
    <w:rsid w:val="00E00239"/>
    <w:rsid w:val="00E36853"/>
    <w:rsid w:val="00F4452F"/>
    <w:rsid w:val="00F5014E"/>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styleId="Menzionenonrisolta">
    <w:name w:val="Unresolved Mention"/>
    <w:basedOn w:val="Carpredefinitoparagrafo"/>
    <w:uiPriority w:val="99"/>
    <w:rsid w:val="00BD4233"/>
    <w:rPr>
      <w:color w:val="605E5C"/>
      <w:shd w:val="clear" w:color="auto" w:fill="E1DFDD"/>
    </w:rPr>
  </w:style>
  <w:style w:type="paragraph" w:styleId="Firmadipostaelettronica">
    <w:name w:val="E-mail Signature"/>
    <w:basedOn w:val="Normale"/>
    <w:link w:val="FirmadipostaelettronicaCarattere"/>
    <w:uiPriority w:val="99"/>
    <w:unhideWhenUsed/>
    <w:rsid w:val="003D617D"/>
    <w:rPr>
      <w:rFonts w:eastAsiaTheme="minorEastAsia"/>
      <w:sz w:val="22"/>
      <w:szCs w:val="22"/>
      <w:lang w:eastAsia="it-IT"/>
    </w:rPr>
  </w:style>
  <w:style w:type="character" w:customStyle="1" w:styleId="FirmadipostaelettronicaCarattere">
    <w:name w:val="Firma di posta elettronica Carattere"/>
    <w:basedOn w:val="Carpredefinitoparagrafo"/>
    <w:link w:val="Firmadipostaelettronica"/>
    <w:uiPriority w:val="99"/>
    <w:rsid w:val="003D617D"/>
    <w:rPr>
      <w:rFonts w:eastAsiaTheme="minorEastAsia"/>
      <w:sz w:val="22"/>
      <w:szCs w:val="22"/>
      <w:lang w:eastAsia="it-IT"/>
    </w:rPr>
  </w:style>
  <w:style w:type="character" w:styleId="Enfasigrassetto">
    <w:name w:val="Strong"/>
    <w:basedOn w:val="Carpredefinitoparagrafo"/>
    <w:uiPriority w:val="22"/>
    <w:qFormat/>
    <w:rsid w:val="00A00101"/>
    <w:rPr>
      <w:b/>
      <w:bCs/>
    </w:rPr>
  </w:style>
  <w:style w:type="paragraph" w:customStyle="1" w:styleId="paragraph">
    <w:name w:val="paragraph"/>
    <w:basedOn w:val="Normale"/>
    <w:rsid w:val="000D4341"/>
    <w:rPr>
      <w:rFonts w:ascii="Calibri" w:hAnsi="Calibri" w:cs="Calibri"/>
      <w:sz w:val="22"/>
      <w:szCs w:val="22"/>
      <w:lang w:eastAsia="it-IT"/>
    </w:rPr>
  </w:style>
  <w:style w:type="character" w:customStyle="1" w:styleId="normaltextrun">
    <w:name w:val="normaltextrun"/>
    <w:basedOn w:val="Carpredefinitoparagrafo"/>
    <w:rsid w:val="000D4341"/>
  </w:style>
  <w:style w:type="character" w:customStyle="1" w:styleId="eop">
    <w:name w:val="eop"/>
    <w:basedOn w:val="Carpredefinitoparagrafo"/>
    <w:rsid w:val="000D4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70098596">
      <w:bodyDiv w:val="1"/>
      <w:marLeft w:val="0"/>
      <w:marRight w:val="0"/>
      <w:marTop w:val="0"/>
      <w:marBottom w:val="0"/>
      <w:divBdr>
        <w:top w:val="none" w:sz="0" w:space="0" w:color="auto"/>
        <w:left w:val="none" w:sz="0" w:space="0" w:color="auto"/>
        <w:bottom w:val="none" w:sz="0" w:space="0" w:color="auto"/>
        <w:right w:val="none" w:sz="0" w:space="0" w:color="auto"/>
      </w:divBdr>
    </w:div>
    <w:div w:id="783576733">
      <w:bodyDiv w:val="1"/>
      <w:marLeft w:val="0"/>
      <w:marRight w:val="0"/>
      <w:marTop w:val="0"/>
      <w:marBottom w:val="0"/>
      <w:divBdr>
        <w:top w:val="none" w:sz="0" w:space="0" w:color="auto"/>
        <w:left w:val="none" w:sz="0" w:space="0" w:color="auto"/>
        <w:bottom w:val="none" w:sz="0" w:space="0" w:color="auto"/>
        <w:right w:val="none" w:sz="0" w:space="0" w:color="auto"/>
      </w:divBdr>
    </w:div>
    <w:div w:id="859779204">
      <w:bodyDiv w:val="1"/>
      <w:marLeft w:val="0"/>
      <w:marRight w:val="0"/>
      <w:marTop w:val="0"/>
      <w:marBottom w:val="0"/>
      <w:divBdr>
        <w:top w:val="none" w:sz="0" w:space="0" w:color="auto"/>
        <w:left w:val="none" w:sz="0" w:space="0" w:color="auto"/>
        <w:bottom w:val="none" w:sz="0" w:space="0" w:color="auto"/>
        <w:right w:val="none" w:sz="0" w:space="0" w:color="auto"/>
      </w:divBdr>
    </w:div>
    <w:div w:id="1069379683">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1406756494">
      <w:bodyDiv w:val="1"/>
      <w:marLeft w:val="0"/>
      <w:marRight w:val="0"/>
      <w:marTop w:val="0"/>
      <w:marBottom w:val="0"/>
      <w:divBdr>
        <w:top w:val="none" w:sz="0" w:space="0" w:color="auto"/>
        <w:left w:val="none" w:sz="0" w:space="0" w:color="auto"/>
        <w:bottom w:val="none" w:sz="0" w:space="0" w:color="auto"/>
        <w:right w:val="none" w:sz="0" w:space="0" w:color="auto"/>
      </w:divBdr>
    </w:div>
    <w:div w:id="1759057616">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581</Words>
  <Characters>3312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8</cp:revision>
  <dcterms:created xsi:type="dcterms:W3CDTF">2022-05-31T13:32:00Z</dcterms:created>
  <dcterms:modified xsi:type="dcterms:W3CDTF">2022-06-20T12:25:00Z</dcterms:modified>
</cp:coreProperties>
</file>