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D488" w14:textId="77777777" w:rsidR="00144BD8" w:rsidRPr="008741D6" w:rsidRDefault="00144BD8" w:rsidP="008741D6">
      <w:pPr>
        <w:spacing w:after="0" w:line="240" w:lineRule="auto"/>
        <w:jc w:val="both"/>
        <w:rPr>
          <w:rFonts w:ascii="Arial" w:eastAsia="Times New Roman" w:hAnsi="Arial" w:cs="Arial"/>
          <w:b/>
          <w:bCs/>
          <w:sz w:val="24"/>
          <w:szCs w:val="24"/>
        </w:rPr>
      </w:pPr>
    </w:p>
    <w:p w14:paraId="139D1828" w14:textId="1CF8311F" w:rsidR="00DB4278" w:rsidRDefault="00DB4278" w:rsidP="008741D6">
      <w:pPr>
        <w:spacing w:after="0" w:line="240" w:lineRule="auto"/>
        <w:jc w:val="center"/>
        <w:rPr>
          <w:rFonts w:ascii="Arial" w:eastAsia="Times New Roman" w:hAnsi="Arial" w:cs="Arial"/>
          <w:b/>
          <w:bCs/>
          <w:color w:val="000000"/>
          <w:sz w:val="23"/>
          <w:szCs w:val="23"/>
          <w:u w:val="single"/>
        </w:rPr>
      </w:pPr>
      <w:r w:rsidRPr="008741D6">
        <w:rPr>
          <w:rFonts w:ascii="Arial" w:eastAsia="Times New Roman" w:hAnsi="Arial" w:cs="Arial"/>
          <w:b/>
          <w:bCs/>
          <w:color w:val="000000"/>
          <w:sz w:val="23"/>
          <w:szCs w:val="23"/>
          <w:u w:val="single"/>
        </w:rPr>
        <w:t>COMUNICATO STAMPA</w:t>
      </w:r>
    </w:p>
    <w:p w14:paraId="788138FE" w14:textId="77777777" w:rsidR="008741D6" w:rsidRPr="008741D6" w:rsidRDefault="008741D6" w:rsidP="008741D6">
      <w:pPr>
        <w:spacing w:after="0" w:line="240" w:lineRule="auto"/>
        <w:jc w:val="center"/>
        <w:rPr>
          <w:color w:val="000000"/>
          <w:sz w:val="23"/>
          <w:szCs w:val="23"/>
          <w:u w:val="single"/>
        </w:rPr>
      </w:pPr>
    </w:p>
    <w:p w14:paraId="0CB46D9A" w14:textId="77777777" w:rsidR="00DB4278" w:rsidRPr="008741D6" w:rsidRDefault="00DB4278" w:rsidP="008741D6">
      <w:pPr>
        <w:shd w:val="clear" w:color="auto" w:fill="FFFFFF"/>
        <w:spacing w:after="0" w:line="240" w:lineRule="auto"/>
        <w:jc w:val="center"/>
        <w:rPr>
          <w:color w:val="000000"/>
          <w:sz w:val="23"/>
          <w:szCs w:val="23"/>
        </w:rPr>
      </w:pPr>
      <w:r w:rsidRPr="008741D6">
        <w:rPr>
          <w:rFonts w:ascii="Arial" w:eastAsia="Times New Roman" w:hAnsi="Arial" w:cs="Arial"/>
          <w:b/>
          <w:bCs/>
          <w:color w:val="201F1E"/>
          <w:sz w:val="23"/>
          <w:szCs w:val="23"/>
          <w:bdr w:val="none" w:sz="0" w:space="0" w:color="auto" w:frame="1"/>
        </w:rPr>
        <w:t>FINANZA AZIENDALE, RILASCIO VISTI DI CONFORMITÀ E CONGRUITÀ DA PARTE DEI COMMERCIALISTI</w:t>
      </w:r>
      <w:r w:rsidRPr="008741D6">
        <w:rPr>
          <w:rFonts w:eastAsia="Times New Roman"/>
          <w:color w:val="201F1E"/>
          <w:sz w:val="23"/>
          <w:szCs w:val="23"/>
        </w:rPr>
        <w:t> </w:t>
      </w:r>
    </w:p>
    <w:p w14:paraId="47D3A86C" w14:textId="6C2C909E" w:rsidR="00DB4278" w:rsidRPr="008741D6" w:rsidRDefault="00DB4278" w:rsidP="008741D6">
      <w:pPr>
        <w:shd w:val="clear" w:color="auto" w:fill="FFFFFF"/>
        <w:spacing w:after="0" w:line="240" w:lineRule="auto"/>
        <w:jc w:val="center"/>
        <w:rPr>
          <w:rFonts w:ascii="Arial" w:eastAsia="Times New Roman" w:hAnsi="Arial" w:cs="Arial"/>
          <w:color w:val="201F1E"/>
          <w:sz w:val="23"/>
          <w:szCs w:val="23"/>
          <w:bdr w:val="none" w:sz="0" w:space="0" w:color="auto" w:frame="1"/>
        </w:rPr>
      </w:pPr>
      <w:r w:rsidRPr="008741D6">
        <w:rPr>
          <w:rFonts w:ascii="Arial" w:eastAsia="Times New Roman" w:hAnsi="Arial" w:cs="Arial"/>
          <w:b/>
          <w:bCs/>
          <w:color w:val="201F1E"/>
          <w:sz w:val="23"/>
          <w:szCs w:val="23"/>
          <w:bdr w:val="none" w:sz="0" w:space="0" w:color="auto" w:frame="1"/>
        </w:rPr>
        <w:t>Pubblicate le Linee guida CNDCEC-FNC in conformità alla normativa europea di vigilanza bancaria per assicurare un’informativa affidabile e tempestiva da parte di professionisti neutrali e indipendenti</w:t>
      </w:r>
    </w:p>
    <w:p w14:paraId="04B4E2EE" w14:textId="77777777" w:rsidR="008741D6" w:rsidRPr="008741D6" w:rsidRDefault="008741D6" w:rsidP="008741D6">
      <w:pPr>
        <w:shd w:val="clear" w:color="auto" w:fill="FFFFFF"/>
        <w:spacing w:after="0" w:line="240" w:lineRule="auto"/>
        <w:jc w:val="center"/>
        <w:rPr>
          <w:color w:val="000000"/>
          <w:sz w:val="24"/>
          <w:szCs w:val="24"/>
        </w:rPr>
      </w:pPr>
    </w:p>
    <w:p w14:paraId="4336B5F4" w14:textId="69EB6150" w:rsidR="00DB4278" w:rsidRPr="008741D6" w:rsidRDefault="00DB4278" w:rsidP="008741D6">
      <w:pPr>
        <w:shd w:val="clear" w:color="auto" w:fill="FFFFFF"/>
        <w:spacing w:after="0" w:line="240" w:lineRule="auto"/>
        <w:jc w:val="both"/>
        <w:rPr>
          <w:rFonts w:ascii="Arial" w:eastAsia="Times New Roman" w:hAnsi="Arial" w:cs="Arial"/>
          <w:color w:val="201F1E"/>
          <w:bdr w:val="none" w:sz="0" w:space="0" w:color="auto" w:frame="1"/>
        </w:rPr>
      </w:pPr>
      <w:r w:rsidRPr="008741D6">
        <w:rPr>
          <w:rFonts w:ascii="Arial" w:eastAsia="Times New Roman" w:hAnsi="Arial" w:cs="Arial"/>
          <w:i/>
          <w:iCs/>
          <w:color w:val="201F1E"/>
          <w:bdr w:val="none" w:sz="0" w:space="0" w:color="auto" w:frame="1"/>
        </w:rPr>
        <w:t>Roma, 20 aprile 2021</w:t>
      </w:r>
      <w:r w:rsidRPr="008741D6">
        <w:rPr>
          <w:rFonts w:ascii="Arial" w:eastAsia="Times New Roman" w:hAnsi="Arial" w:cs="Arial"/>
          <w:color w:val="201F1E"/>
          <w:bdr w:val="none" w:sz="0" w:space="0" w:color="auto" w:frame="1"/>
        </w:rPr>
        <w:t xml:space="preserve"> – Assicurare </w:t>
      </w:r>
      <w:r w:rsidRPr="008741D6">
        <w:rPr>
          <w:rFonts w:ascii="Arial" w:eastAsia="Times New Roman" w:hAnsi="Arial" w:cs="Arial"/>
          <w:b/>
          <w:bCs/>
          <w:color w:val="201F1E"/>
          <w:bdr w:val="none" w:sz="0" w:space="0" w:color="auto" w:frame="1"/>
        </w:rPr>
        <w:t>un’informativa aziendale affidabile</w:t>
      </w:r>
      <w:r w:rsidRPr="008741D6">
        <w:rPr>
          <w:rFonts w:ascii="Arial" w:eastAsia="Times New Roman" w:hAnsi="Arial" w:cs="Arial"/>
          <w:color w:val="201F1E"/>
          <w:bdr w:val="none" w:sz="0" w:space="0" w:color="auto" w:frame="1"/>
        </w:rPr>
        <w:t xml:space="preserve">, significativa, completa e tempestiva da parte di </w:t>
      </w:r>
      <w:r w:rsidRPr="008741D6">
        <w:rPr>
          <w:rFonts w:ascii="Arial" w:eastAsia="Times New Roman" w:hAnsi="Arial" w:cs="Arial"/>
          <w:b/>
          <w:bCs/>
          <w:color w:val="201F1E"/>
          <w:bdr w:val="none" w:sz="0" w:space="0" w:color="auto" w:frame="1"/>
        </w:rPr>
        <w:t>professionisti neutrali e indipende</w:t>
      </w:r>
      <w:r w:rsidRPr="008741D6">
        <w:rPr>
          <w:rFonts w:ascii="Arial" w:eastAsia="Times New Roman" w:hAnsi="Arial" w:cs="Arial"/>
          <w:color w:val="201F1E"/>
          <w:bdr w:val="none" w:sz="0" w:space="0" w:color="auto" w:frame="1"/>
        </w:rPr>
        <w:t>nti, che costituisca un’imprescindibile premessa all’assunzione di decisioni che coinvolgano interessi economici e valutazione di rischi. È il fine delle “</w:t>
      </w:r>
      <w:r w:rsidRPr="008741D6">
        <w:rPr>
          <w:rFonts w:ascii="Arial" w:eastAsia="Times New Roman" w:hAnsi="Arial" w:cs="Arial"/>
          <w:b/>
          <w:bCs/>
          <w:color w:val="201F1E"/>
          <w:bdr w:val="none" w:sz="0" w:space="0" w:color="auto" w:frame="1"/>
        </w:rPr>
        <w:t>Linee guida per il rilascio del visto di conformità e del visto di congruità sull’informativa finanziaria aziendale da parte dei Commercialisti</w:t>
      </w:r>
      <w:r w:rsidRPr="008741D6">
        <w:rPr>
          <w:rFonts w:ascii="Arial" w:eastAsia="Times New Roman" w:hAnsi="Arial" w:cs="Arial"/>
          <w:color w:val="201F1E"/>
          <w:bdr w:val="none" w:sz="0" w:space="0" w:color="auto" w:frame="1"/>
        </w:rPr>
        <w:t xml:space="preserve">”, pubblicate dal Consiglio e dalla Fondazione nazionali della categoria dopo una pubblica consultazione, per </w:t>
      </w:r>
      <w:r w:rsidRPr="008741D6">
        <w:rPr>
          <w:rFonts w:ascii="Arial" w:eastAsia="Times New Roman" w:hAnsi="Arial" w:cs="Arial"/>
          <w:b/>
          <w:bCs/>
          <w:color w:val="201F1E"/>
          <w:bdr w:val="none" w:sz="0" w:space="0" w:color="auto" w:frame="1"/>
        </w:rPr>
        <w:t>disciplinare il processo operativo</w:t>
      </w:r>
      <w:r w:rsidRPr="008741D6">
        <w:rPr>
          <w:rFonts w:ascii="Arial" w:eastAsia="Times New Roman" w:hAnsi="Arial" w:cs="Arial"/>
          <w:color w:val="201F1E"/>
          <w:bdr w:val="none" w:sz="0" w:space="0" w:color="auto" w:frame="1"/>
        </w:rPr>
        <w:t xml:space="preserve"> per il rilascio di un visto di conformità per l’informativa finanziaria storica e corrente (</w:t>
      </w:r>
      <w:proofErr w:type="spellStart"/>
      <w:r w:rsidRPr="008741D6">
        <w:rPr>
          <w:rFonts w:ascii="Arial" w:eastAsia="Times New Roman" w:hAnsi="Arial" w:cs="Arial"/>
          <w:i/>
          <w:iCs/>
          <w:color w:val="201F1E"/>
          <w:bdr w:val="none" w:sz="0" w:space="0" w:color="auto" w:frame="1"/>
        </w:rPr>
        <w:t>backward-looking</w:t>
      </w:r>
      <w:proofErr w:type="spellEnd"/>
      <w:r w:rsidRPr="008741D6">
        <w:rPr>
          <w:rFonts w:ascii="Arial" w:eastAsia="Times New Roman" w:hAnsi="Arial" w:cs="Arial"/>
          <w:i/>
          <w:iCs/>
          <w:color w:val="201F1E"/>
          <w:bdr w:val="none" w:sz="0" w:space="0" w:color="auto" w:frame="1"/>
        </w:rPr>
        <w:t xml:space="preserve"> information</w:t>
      </w:r>
      <w:r w:rsidRPr="008741D6">
        <w:rPr>
          <w:rFonts w:ascii="Arial" w:eastAsia="Times New Roman" w:hAnsi="Arial" w:cs="Arial"/>
          <w:color w:val="201F1E"/>
          <w:bdr w:val="none" w:sz="0" w:space="0" w:color="auto" w:frame="1"/>
        </w:rPr>
        <w:t>) e di un visto di congruità per quella prospettica (</w:t>
      </w:r>
      <w:proofErr w:type="spellStart"/>
      <w:r w:rsidRPr="008741D6">
        <w:rPr>
          <w:rFonts w:ascii="Arial" w:eastAsia="Times New Roman" w:hAnsi="Arial" w:cs="Arial"/>
          <w:i/>
          <w:iCs/>
          <w:color w:val="201F1E"/>
          <w:bdr w:val="none" w:sz="0" w:space="0" w:color="auto" w:frame="1"/>
        </w:rPr>
        <w:t>forward-looking</w:t>
      </w:r>
      <w:proofErr w:type="spellEnd"/>
      <w:r w:rsidRPr="008741D6">
        <w:rPr>
          <w:rFonts w:ascii="Arial" w:eastAsia="Times New Roman" w:hAnsi="Arial" w:cs="Arial"/>
          <w:i/>
          <w:iCs/>
          <w:color w:val="201F1E"/>
          <w:bdr w:val="none" w:sz="0" w:space="0" w:color="auto" w:frame="1"/>
        </w:rPr>
        <w:t xml:space="preserve"> information</w:t>
      </w:r>
      <w:r w:rsidRPr="008741D6">
        <w:rPr>
          <w:rFonts w:ascii="Arial" w:eastAsia="Times New Roman" w:hAnsi="Arial" w:cs="Arial"/>
          <w:color w:val="201F1E"/>
          <w:bdr w:val="none" w:sz="0" w:space="0" w:color="auto" w:frame="1"/>
        </w:rPr>
        <w:t>).</w:t>
      </w:r>
    </w:p>
    <w:p w14:paraId="06012045" w14:textId="77777777" w:rsidR="008741D6" w:rsidRPr="008741D6" w:rsidRDefault="008741D6" w:rsidP="008741D6">
      <w:pPr>
        <w:shd w:val="clear" w:color="auto" w:fill="FFFFFF"/>
        <w:spacing w:after="0" w:line="240" w:lineRule="auto"/>
        <w:jc w:val="both"/>
        <w:rPr>
          <w:color w:val="000000"/>
        </w:rPr>
      </w:pPr>
    </w:p>
    <w:p w14:paraId="05ABE7A3" w14:textId="4819F834" w:rsidR="00DB4278" w:rsidRPr="008741D6" w:rsidRDefault="00DB4278" w:rsidP="008741D6">
      <w:pPr>
        <w:shd w:val="clear" w:color="auto" w:fill="FFFFFF"/>
        <w:spacing w:after="0" w:line="240" w:lineRule="auto"/>
        <w:jc w:val="both"/>
        <w:rPr>
          <w:rFonts w:eastAsia="Times New Roman"/>
          <w:color w:val="201F1E"/>
        </w:rPr>
      </w:pPr>
      <w:r w:rsidRPr="008741D6">
        <w:rPr>
          <w:rFonts w:ascii="Arial" w:eastAsia="Times New Roman" w:hAnsi="Arial" w:cs="Arial"/>
          <w:color w:val="201F1E"/>
          <w:bdr w:val="none" w:sz="0" w:space="0" w:color="auto" w:frame="1"/>
        </w:rPr>
        <w:t xml:space="preserve">Il documento è stato emanato </w:t>
      </w:r>
      <w:r w:rsidRPr="008741D6">
        <w:rPr>
          <w:rFonts w:ascii="Arial" w:eastAsia="Times New Roman" w:hAnsi="Arial" w:cs="Arial"/>
          <w:b/>
          <w:bCs/>
          <w:color w:val="201F1E"/>
          <w:bdr w:val="none" w:sz="0" w:space="0" w:color="auto" w:frame="1"/>
        </w:rPr>
        <w:t>in conformità alla normativa europea di vigilanza bancaria</w:t>
      </w:r>
      <w:r w:rsidRPr="008741D6">
        <w:rPr>
          <w:rFonts w:ascii="Arial" w:eastAsia="Times New Roman" w:hAnsi="Arial" w:cs="Arial"/>
          <w:color w:val="201F1E"/>
          <w:bdr w:val="none" w:sz="0" w:space="0" w:color="auto" w:frame="1"/>
        </w:rPr>
        <w:t xml:space="preserve"> – giunta a compimento con le “</w:t>
      </w:r>
      <w:proofErr w:type="spellStart"/>
      <w:r w:rsidRPr="008741D6">
        <w:rPr>
          <w:rFonts w:ascii="Arial" w:eastAsia="Times New Roman" w:hAnsi="Arial" w:cs="Arial"/>
          <w:color w:val="201F1E"/>
          <w:bdr w:val="none" w:sz="0" w:space="0" w:color="auto" w:frame="1"/>
        </w:rPr>
        <w:t>Guidelines</w:t>
      </w:r>
      <w:proofErr w:type="spellEnd"/>
      <w:r w:rsidRPr="008741D6">
        <w:rPr>
          <w:rFonts w:ascii="Arial" w:eastAsia="Times New Roman" w:hAnsi="Arial" w:cs="Arial"/>
          <w:color w:val="201F1E"/>
          <w:bdr w:val="none" w:sz="0" w:space="0" w:color="auto" w:frame="1"/>
        </w:rPr>
        <w:t xml:space="preserve"> on </w:t>
      </w:r>
      <w:proofErr w:type="spellStart"/>
      <w:r w:rsidRPr="008741D6">
        <w:rPr>
          <w:rFonts w:ascii="Arial" w:eastAsia="Times New Roman" w:hAnsi="Arial" w:cs="Arial"/>
          <w:color w:val="201F1E"/>
          <w:bdr w:val="none" w:sz="0" w:space="0" w:color="auto" w:frame="1"/>
        </w:rPr>
        <w:t>loan</w:t>
      </w:r>
      <w:proofErr w:type="spellEnd"/>
      <w:r w:rsidRPr="008741D6">
        <w:rPr>
          <w:rFonts w:ascii="Arial" w:eastAsia="Times New Roman" w:hAnsi="Arial" w:cs="Arial"/>
          <w:color w:val="201F1E"/>
          <w:bdr w:val="none" w:sz="0" w:space="0" w:color="auto" w:frame="1"/>
        </w:rPr>
        <w:t xml:space="preserve"> </w:t>
      </w:r>
      <w:proofErr w:type="spellStart"/>
      <w:r w:rsidRPr="008741D6">
        <w:rPr>
          <w:rFonts w:ascii="Arial" w:eastAsia="Times New Roman" w:hAnsi="Arial" w:cs="Arial"/>
          <w:color w:val="201F1E"/>
          <w:bdr w:val="none" w:sz="0" w:space="0" w:color="auto" w:frame="1"/>
        </w:rPr>
        <w:t>origination</w:t>
      </w:r>
      <w:proofErr w:type="spellEnd"/>
      <w:r w:rsidRPr="008741D6">
        <w:rPr>
          <w:rFonts w:ascii="Arial" w:eastAsia="Times New Roman" w:hAnsi="Arial" w:cs="Arial"/>
          <w:color w:val="201F1E"/>
          <w:bdr w:val="none" w:sz="0" w:space="0" w:color="auto" w:frame="1"/>
        </w:rPr>
        <w:t xml:space="preserve"> and monitoring” (LOM) dell’EBA (</w:t>
      </w:r>
      <w:proofErr w:type="spellStart"/>
      <w:r w:rsidRPr="008741D6">
        <w:rPr>
          <w:rFonts w:ascii="Arial" w:eastAsia="Times New Roman" w:hAnsi="Arial" w:cs="Arial"/>
          <w:color w:val="201F1E"/>
          <w:bdr w:val="none" w:sz="0" w:space="0" w:color="auto" w:frame="1"/>
        </w:rPr>
        <w:t>European</w:t>
      </w:r>
      <w:proofErr w:type="spellEnd"/>
      <w:r w:rsidRPr="008741D6">
        <w:rPr>
          <w:rFonts w:ascii="Arial" w:eastAsia="Times New Roman" w:hAnsi="Arial" w:cs="Arial"/>
          <w:color w:val="201F1E"/>
          <w:bdr w:val="none" w:sz="0" w:space="0" w:color="auto" w:frame="1"/>
        </w:rPr>
        <w:t xml:space="preserve"> Banking Autority) – per gli iscritti all’Ordine dei Dottori Commercialisti ed Esperti Contabili a cui l’ordinamento professionale attribuisce la verificazione in merito all’attendibilità dei bilanci e di ogni altro documento contabile delle imprese.</w:t>
      </w:r>
    </w:p>
    <w:p w14:paraId="2753C8B8" w14:textId="77777777" w:rsidR="008741D6" w:rsidRPr="008741D6" w:rsidRDefault="008741D6" w:rsidP="008741D6">
      <w:pPr>
        <w:shd w:val="clear" w:color="auto" w:fill="FFFFFF"/>
        <w:spacing w:after="0" w:line="240" w:lineRule="auto"/>
        <w:jc w:val="both"/>
        <w:rPr>
          <w:color w:val="000000"/>
        </w:rPr>
      </w:pPr>
    </w:p>
    <w:p w14:paraId="301E2007" w14:textId="681523B1" w:rsidR="00DB4278" w:rsidRPr="008741D6" w:rsidRDefault="00DB4278" w:rsidP="008741D6">
      <w:pPr>
        <w:shd w:val="clear" w:color="auto" w:fill="FFFFFF"/>
        <w:spacing w:after="0" w:line="240" w:lineRule="auto"/>
        <w:jc w:val="both"/>
        <w:rPr>
          <w:rFonts w:ascii="Arial" w:eastAsia="Times New Roman" w:hAnsi="Arial" w:cs="Arial"/>
          <w:color w:val="201F1E"/>
          <w:bdr w:val="none" w:sz="0" w:space="0" w:color="auto" w:frame="1"/>
        </w:rPr>
      </w:pPr>
      <w:r w:rsidRPr="008741D6">
        <w:rPr>
          <w:rFonts w:ascii="Arial" w:eastAsia="Times New Roman" w:hAnsi="Arial" w:cs="Arial"/>
          <w:color w:val="201F1E"/>
          <w:bdr w:val="none" w:sz="0" w:space="0" w:color="auto" w:frame="1"/>
        </w:rPr>
        <w:t>Le Linee guida sono suddivise in tre parti. Dopo un’</w:t>
      </w:r>
      <w:r w:rsidRPr="008741D6">
        <w:rPr>
          <w:rFonts w:ascii="Arial" w:eastAsia="Times New Roman" w:hAnsi="Arial" w:cs="Arial"/>
          <w:b/>
          <w:bCs/>
          <w:color w:val="201F1E"/>
          <w:bdr w:val="none" w:sz="0" w:space="0" w:color="auto" w:frame="1"/>
        </w:rPr>
        <w:t>Introduzione</w:t>
      </w:r>
      <w:r w:rsidRPr="008741D6">
        <w:rPr>
          <w:rFonts w:ascii="Arial" w:eastAsia="Times New Roman" w:hAnsi="Arial" w:cs="Arial"/>
          <w:color w:val="201F1E"/>
          <w:bdr w:val="none" w:sz="0" w:space="0" w:color="auto" w:frame="1"/>
        </w:rPr>
        <w:t> che circoscrive il contesto normativo e operativo di riferimento e declina i postulati generali dell’attività di </w:t>
      </w:r>
      <w:proofErr w:type="spellStart"/>
      <w:r w:rsidRPr="008741D6">
        <w:rPr>
          <w:rFonts w:ascii="Arial" w:eastAsia="Times New Roman" w:hAnsi="Arial" w:cs="Arial"/>
          <w:i/>
          <w:iCs/>
          <w:color w:val="201F1E"/>
          <w:bdr w:val="none" w:sz="0" w:space="0" w:color="auto" w:frame="1"/>
        </w:rPr>
        <w:t>assurance</w:t>
      </w:r>
      <w:proofErr w:type="spellEnd"/>
      <w:r w:rsidRPr="008741D6">
        <w:rPr>
          <w:rFonts w:ascii="Arial" w:eastAsia="Times New Roman" w:hAnsi="Arial" w:cs="Arial"/>
          <w:color w:val="201F1E"/>
          <w:bdr w:val="none" w:sz="0" w:space="0" w:color="auto" w:frame="1"/>
        </w:rPr>
        <w:t>, si delinea un </w:t>
      </w:r>
      <w:r w:rsidRPr="008741D6">
        <w:rPr>
          <w:rFonts w:ascii="Arial" w:eastAsia="Times New Roman" w:hAnsi="Arial" w:cs="Arial"/>
          <w:b/>
          <w:bCs/>
          <w:color w:val="201F1E"/>
          <w:bdr w:val="none" w:sz="0" w:space="0" w:color="auto" w:frame="1"/>
        </w:rPr>
        <w:t>Protocollo operativo</w:t>
      </w:r>
      <w:r w:rsidRPr="008741D6">
        <w:rPr>
          <w:rFonts w:ascii="Arial" w:eastAsia="Times New Roman" w:hAnsi="Arial" w:cs="Arial"/>
          <w:color w:val="201F1E"/>
          <w:bdr w:val="none" w:sz="0" w:space="0" w:color="auto" w:frame="1"/>
        </w:rPr>
        <w:t> per le tre diverse procedure proposte: semplificata per le piccole imprese che redigono il bilancio in forma abbreviata ai sensi dell’art. 2435 bis del Codice civile, ma comunque obbligate ai sensi dell’art. 2477 del Codice civile alla nomina dell’organo di controllo societario; ordinaria per le piccole imprese obbligate alla presentazione del bilancio in forma ordinaria; avanzata per le imprese di media e grande dimensione. Completano il documento gli </w:t>
      </w:r>
      <w:r w:rsidRPr="008741D6">
        <w:rPr>
          <w:rFonts w:ascii="Arial" w:eastAsia="Times New Roman" w:hAnsi="Arial" w:cs="Arial"/>
          <w:b/>
          <w:bCs/>
          <w:color w:val="201F1E"/>
          <w:bdr w:val="none" w:sz="0" w:space="0" w:color="auto" w:frame="1"/>
        </w:rPr>
        <w:t>Allegati</w:t>
      </w:r>
      <w:r w:rsidRPr="008741D6">
        <w:rPr>
          <w:rFonts w:ascii="Arial" w:eastAsia="Times New Roman" w:hAnsi="Arial" w:cs="Arial"/>
          <w:color w:val="201F1E"/>
          <w:bdr w:val="none" w:sz="0" w:space="0" w:color="auto" w:frame="1"/>
        </w:rPr>
        <w:t> necessari al rilascio dei visti di conformità e congruità da parte del commercialista incaricato.</w:t>
      </w:r>
    </w:p>
    <w:p w14:paraId="0E073B69" w14:textId="77777777" w:rsidR="008741D6" w:rsidRPr="008741D6" w:rsidRDefault="008741D6" w:rsidP="008741D6">
      <w:pPr>
        <w:shd w:val="clear" w:color="auto" w:fill="FFFFFF"/>
        <w:spacing w:after="0" w:line="240" w:lineRule="auto"/>
        <w:jc w:val="both"/>
        <w:rPr>
          <w:color w:val="000000"/>
        </w:rPr>
      </w:pPr>
    </w:p>
    <w:p w14:paraId="61BECFDD" w14:textId="25587172" w:rsidR="00DB4278" w:rsidRPr="008741D6" w:rsidRDefault="00DB4278" w:rsidP="008741D6">
      <w:pPr>
        <w:shd w:val="clear" w:color="auto" w:fill="FFFFFF"/>
        <w:spacing w:after="0" w:line="240" w:lineRule="auto"/>
        <w:jc w:val="both"/>
        <w:rPr>
          <w:rFonts w:ascii="Arial" w:eastAsia="Times New Roman" w:hAnsi="Arial" w:cs="Arial"/>
          <w:color w:val="201F1E"/>
          <w:bdr w:val="none" w:sz="0" w:space="0" w:color="auto" w:frame="1"/>
        </w:rPr>
      </w:pPr>
      <w:r w:rsidRPr="008741D6">
        <w:rPr>
          <w:rFonts w:ascii="Arial" w:eastAsia="Times New Roman" w:hAnsi="Arial" w:cs="Arial"/>
          <w:color w:val="201F1E"/>
          <w:bdr w:val="none" w:sz="0" w:space="0" w:color="auto" w:frame="1"/>
        </w:rPr>
        <w:t xml:space="preserve">L’approvazione delle Linee guida LOM rappresenta la conclusione di un lungo e articolato processo di armonizzazione e adeguamento della normativa europea in materia di valutazione del merito creditizio, concessione e gestione dei crediti (sia in bonis che deteriorati) e monitoraggio del rischio di credito, che ha avuto il suo epilogo normativo con la definitiva applicazione </w:t>
      </w:r>
      <w:r w:rsidRPr="008741D6">
        <w:rPr>
          <w:rFonts w:ascii="Arial" w:eastAsia="Times New Roman" w:hAnsi="Arial" w:cs="Arial"/>
          <w:b/>
          <w:bCs/>
          <w:color w:val="201F1E"/>
          <w:bdr w:val="none" w:sz="0" w:space="0" w:color="auto" w:frame="1"/>
        </w:rPr>
        <w:t xml:space="preserve">della nuova definizione di default </w:t>
      </w:r>
      <w:r w:rsidRPr="008741D6">
        <w:rPr>
          <w:rFonts w:ascii="Arial" w:eastAsia="Times New Roman" w:hAnsi="Arial" w:cs="Arial"/>
          <w:color w:val="201F1E"/>
          <w:bdr w:val="none" w:sz="0" w:space="0" w:color="auto" w:frame="1"/>
        </w:rPr>
        <w:t xml:space="preserve">a partire </w:t>
      </w:r>
      <w:r w:rsidRPr="008741D6">
        <w:rPr>
          <w:rFonts w:ascii="Arial" w:eastAsia="Times New Roman" w:hAnsi="Arial" w:cs="Arial"/>
          <w:b/>
          <w:bCs/>
          <w:color w:val="201F1E"/>
          <w:bdr w:val="none" w:sz="0" w:space="0" w:color="auto" w:frame="1"/>
        </w:rPr>
        <w:t>dal 1° gennaio 2021</w:t>
      </w:r>
      <w:r w:rsidRPr="008741D6">
        <w:rPr>
          <w:rFonts w:ascii="Arial" w:eastAsia="Times New Roman" w:hAnsi="Arial" w:cs="Arial"/>
          <w:color w:val="201F1E"/>
          <w:bdr w:val="none" w:sz="0" w:space="0" w:color="auto" w:frame="1"/>
        </w:rPr>
        <w:t xml:space="preserve"> e verrà integrato con l’applicazione </w:t>
      </w:r>
      <w:r w:rsidRPr="008741D6">
        <w:rPr>
          <w:rFonts w:ascii="Arial" w:eastAsia="Times New Roman" w:hAnsi="Arial" w:cs="Arial"/>
          <w:b/>
          <w:bCs/>
          <w:color w:val="201F1E"/>
          <w:bdr w:val="none" w:sz="0" w:space="0" w:color="auto" w:frame="1"/>
        </w:rPr>
        <w:t xml:space="preserve">delle nuove Linee guida EBA </w:t>
      </w:r>
      <w:r w:rsidRPr="008741D6">
        <w:rPr>
          <w:rFonts w:ascii="Arial" w:eastAsia="Times New Roman" w:hAnsi="Arial" w:cs="Arial"/>
          <w:color w:val="201F1E"/>
          <w:bdr w:val="none" w:sz="0" w:space="0" w:color="auto" w:frame="1"/>
        </w:rPr>
        <w:t xml:space="preserve">LOM </w:t>
      </w:r>
      <w:r w:rsidRPr="008741D6">
        <w:rPr>
          <w:rFonts w:ascii="Arial" w:eastAsia="Times New Roman" w:hAnsi="Arial" w:cs="Arial"/>
          <w:b/>
          <w:bCs/>
          <w:color w:val="201F1E"/>
          <w:bdr w:val="none" w:sz="0" w:space="0" w:color="auto" w:frame="1"/>
        </w:rPr>
        <w:t>dal prossimo 30 giugno</w:t>
      </w:r>
      <w:r w:rsidRPr="008741D6">
        <w:rPr>
          <w:rFonts w:ascii="Arial" w:eastAsia="Times New Roman" w:hAnsi="Arial" w:cs="Arial"/>
          <w:color w:val="201F1E"/>
          <w:bdr w:val="none" w:sz="0" w:space="0" w:color="auto" w:frame="1"/>
        </w:rPr>
        <w:t xml:space="preserve"> in relazione ai nuovi finanziamenti.</w:t>
      </w:r>
    </w:p>
    <w:p w14:paraId="4D04DDAF" w14:textId="77777777" w:rsidR="008741D6" w:rsidRPr="008741D6" w:rsidRDefault="008741D6" w:rsidP="008741D6">
      <w:pPr>
        <w:shd w:val="clear" w:color="auto" w:fill="FFFFFF"/>
        <w:spacing w:after="0" w:line="240" w:lineRule="auto"/>
        <w:jc w:val="both"/>
        <w:rPr>
          <w:color w:val="000000"/>
        </w:rPr>
      </w:pPr>
    </w:p>
    <w:p w14:paraId="70392D5F" w14:textId="3640D585" w:rsidR="00DB4278" w:rsidRPr="008741D6" w:rsidRDefault="00DB4278" w:rsidP="008741D6">
      <w:pPr>
        <w:shd w:val="clear" w:color="auto" w:fill="FFFFFF"/>
        <w:spacing w:after="0" w:line="240" w:lineRule="auto"/>
        <w:jc w:val="both"/>
        <w:rPr>
          <w:rFonts w:eastAsia="Times New Roman"/>
          <w:color w:val="201F1E"/>
        </w:rPr>
      </w:pPr>
      <w:r w:rsidRPr="008741D6">
        <w:rPr>
          <w:rFonts w:ascii="Arial" w:eastAsia="Times New Roman" w:hAnsi="Arial" w:cs="Arial"/>
          <w:color w:val="201F1E"/>
          <w:bdr w:val="none" w:sz="0" w:space="0" w:color="auto" w:frame="1"/>
        </w:rPr>
        <w:t>“L’evoluzione regolamentare ha indotto un cambiamento, sotto certi aspetti “epocale”, per le banche del nostro Paese e, più in generale, per tutte le istituzioni finanziarie soggette a vigilanza prudenziale – afferma </w:t>
      </w:r>
      <w:r w:rsidRPr="008741D6">
        <w:rPr>
          <w:rFonts w:ascii="Arial" w:eastAsia="Times New Roman" w:hAnsi="Arial" w:cs="Arial"/>
          <w:b/>
          <w:bCs/>
          <w:color w:val="201F1E"/>
          <w:bdr w:val="none" w:sz="0" w:space="0" w:color="auto" w:frame="1"/>
        </w:rPr>
        <w:t>Massimo Miani</w:t>
      </w:r>
      <w:r w:rsidRPr="008741D6">
        <w:rPr>
          <w:rFonts w:ascii="Arial" w:eastAsia="Times New Roman" w:hAnsi="Arial" w:cs="Arial"/>
          <w:color w:val="201F1E"/>
          <w:bdr w:val="none" w:sz="0" w:space="0" w:color="auto" w:frame="1"/>
        </w:rPr>
        <w:t>, presidente del Consiglio nazionale dei commercialisti -. Un cambiamento che comporterà necessariamente una sorta di vera e propria </w:t>
      </w:r>
      <w:r w:rsidRPr="008741D6">
        <w:rPr>
          <w:rFonts w:ascii="Arial" w:eastAsia="Times New Roman" w:hAnsi="Arial" w:cs="Arial"/>
          <w:b/>
          <w:bCs/>
          <w:color w:val="201F1E"/>
          <w:bdr w:val="none" w:sz="0" w:space="0" w:color="auto" w:frame="1"/>
        </w:rPr>
        <w:t>“rivoluzione culturale”</w:t>
      </w:r>
      <w:r w:rsidRPr="008741D6">
        <w:rPr>
          <w:rFonts w:ascii="Arial" w:eastAsia="Times New Roman" w:hAnsi="Arial" w:cs="Arial"/>
          <w:color w:val="201F1E"/>
          <w:bdr w:val="none" w:sz="0" w:space="0" w:color="auto" w:frame="1"/>
        </w:rPr>
        <w:t> per tutti gli operatori economici coinvolti, in primis le banche e le imprese, ma anche i professionisti. A ciò si aggiunga che le imprese, in particolare quelle costituite sotto forma di società, sono già tenute ad adottare, pur nel rispetto del principio di proporzionalità richiamato dall’art. 2086 del Codice civile, adeguati assetti amministrativi, organizzativi e contabili”.</w:t>
      </w:r>
    </w:p>
    <w:p w14:paraId="704C1E23" w14:textId="77777777" w:rsidR="008741D6" w:rsidRPr="008741D6" w:rsidRDefault="008741D6" w:rsidP="008741D6">
      <w:pPr>
        <w:shd w:val="clear" w:color="auto" w:fill="FFFFFF"/>
        <w:spacing w:after="0" w:line="240" w:lineRule="auto"/>
        <w:jc w:val="both"/>
        <w:rPr>
          <w:color w:val="000000"/>
        </w:rPr>
      </w:pPr>
    </w:p>
    <w:p w14:paraId="60AE71B8" w14:textId="332D2837" w:rsidR="00DB4278" w:rsidRPr="008741D6" w:rsidRDefault="00DB4278" w:rsidP="008741D6">
      <w:pPr>
        <w:shd w:val="clear" w:color="auto" w:fill="FFFFFF"/>
        <w:spacing w:after="0" w:line="240" w:lineRule="auto"/>
        <w:jc w:val="both"/>
        <w:rPr>
          <w:rFonts w:ascii="Arial" w:eastAsia="Times New Roman" w:hAnsi="Arial" w:cs="Arial"/>
          <w:color w:val="201F1E"/>
          <w:bdr w:val="none" w:sz="0" w:space="0" w:color="auto" w:frame="1"/>
        </w:rPr>
      </w:pPr>
      <w:r w:rsidRPr="008741D6">
        <w:rPr>
          <w:rFonts w:ascii="Arial" w:eastAsia="Times New Roman" w:hAnsi="Arial" w:cs="Arial"/>
          <w:color w:val="201F1E"/>
          <w:bdr w:val="none" w:sz="0" w:space="0" w:color="auto" w:frame="1"/>
        </w:rPr>
        <w:lastRenderedPageBreak/>
        <w:t>Questi ultimi, sul piano operativo, si tradurranno in modelli di risk governance (corporate governance, controlli interni e gestione proattiva dei rischi) in grado di assicurare alle varie categorie di stakeholders (fornitori, dipendenti, clienti, banche ed erario, in particolare) la necessaria trasparenza e affidabilità dell’informazione finanziaria aziendale, storica, corrente e prospettica.</w:t>
      </w:r>
    </w:p>
    <w:p w14:paraId="666C976D" w14:textId="77777777" w:rsidR="008741D6" w:rsidRPr="008741D6" w:rsidRDefault="008741D6" w:rsidP="008741D6">
      <w:pPr>
        <w:shd w:val="clear" w:color="auto" w:fill="FFFFFF"/>
        <w:spacing w:after="0" w:line="240" w:lineRule="auto"/>
        <w:jc w:val="both"/>
        <w:rPr>
          <w:color w:val="000000"/>
        </w:rPr>
      </w:pPr>
    </w:p>
    <w:p w14:paraId="7A33A0E4" w14:textId="3D9999DB" w:rsidR="00DB4278" w:rsidRPr="008741D6" w:rsidRDefault="00DB4278" w:rsidP="008741D6">
      <w:pPr>
        <w:shd w:val="clear" w:color="auto" w:fill="FFFFFF"/>
        <w:spacing w:after="0" w:line="240" w:lineRule="auto"/>
        <w:jc w:val="both"/>
        <w:rPr>
          <w:rFonts w:eastAsia="Times New Roman"/>
          <w:color w:val="201F1E"/>
        </w:rPr>
      </w:pPr>
      <w:r w:rsidRPr="008741D6">
        <w:rPr>
          <w:rFonts w:ascii="Arial" w:eastAsia="Times New Roman" w:hAnsi="Arial" w:cs="Arial"/>
          <w:color w:val="201F1E"/>
          <w:bdr w:val="none" w:sz="0" w:space="0" w:color="auto" w:frame="1"/>
        </w:rPr>
        <w:t>“Tutto avverrà secondo un approccio, metodologie e metriche non più esclusivamente basate su set di dati storici o derivanti da mere estrapolazioni puntuali di dati storici - spiegano </w:t>
      </w:r>
      <w:r w:rsidRPr="008741D6">
        <w:rPr>
          <w:rFonts w:ascii="Arial" w:eastAsia="Times New Roman" w:hAnsi="Arial" w:cs="Arial"/>
          <w:b/>
          <w:bCs/>
          <w:color w:val="201F1E"/>
          <w:bdr w:val="none" w:sz="0" w:space="0" w:color="auto" w:frame="1"/>
        </w:rPr>
        <w:t>Maurizio Grosso</w:t>
      </w:r>
      <w:r w:rsidRPr="008741D6">
        <w:rPr>
          <w:rFonts w:ascii="Arial" w:eastAsia="Times New Roman" w:hAnsi="Arial" w:cs="Arial"/>
          <w:color w:val="201F1E"/>
          <w:bdr w:val="none" w:sz="0" w:space="0" w:color="auto" w:frame="1"/>
        </w:rPr>
        <w:t> e </w:t>
      </w:r>
      <w:r w:rsidRPr="008741D6">
        <w:rPr>
          <w:rFonts w:ascii="Arial" w:eastAsia="Times New Roman" w:hAnsi="Arial" w:cs="Arial"/>
          <w:b/>
          <w:bCs/>
          <w:color w:val="201F1E"/>
          <w:bdr w:val="none" w:sz="0" w:space="0" w:color="auto" w:frame="1"/>
        </w:rPr>
        <w:t>Lorenzo Sirch</w:t>
      </w:r>
      <w:r w:rsidRPr="008741D6">
        <w:rPr>
          <w:rFonts w:ascii="Arial" w:eastAsia="Times New Roman" w:hAnsi="Arial" w:cs="Arial"/>
          <w:color w:val="201F1E"/>
          <w:bdr w:val="none" w:sz="0" w:space="0" w:color="auto" w:frame="1"/>
        </w:rPr>
        <w:t xml:space="preserve">, consiglieri nazionali dei commercialisti delegati alla Finanza aziendale -, ma strutturate su analisi e </w:t>
      </w:r>
      <w:proofErr w:type="spellStart"/>
      <w:r w:rsidRPr="008741D6">
        <w:rPr>
          <w:rFonts w:ascii="Arial" w:eastAsia="Times New Roman" w:hAnsi="Arial" w:cs="Arial"/>
          <w:color w:val="201F1E"/>
          <w:bdr w:val="none" w:sz="0" w:space="0" w:color="auto" w:frame="1"/>
        </w:rPr>
        <w:t>valutazioni</w:t>
      </w:r>
      <w:proofErr w:type="spellEnd"/>
      <w:r w:rsidRPr="008741D6">
        <w:rPr>
          <w:rFonts w:ascii="Arial" w:eastAsia="Times New Roman" w:hAnsi="Arial" w:cs="Arial"/>
          <w:color w:val="201F1E"/>
          <w:bdr w:val="none" w:sz="0" w:space="0" w:color="auto" w:frame="1"/>
        </w:rPr>
        <w:t xml:space="preserve"> di tipo prospettico, che richiedono di considerare esplicitamente anche la </w:t>
      </w:r>
      <w:r w:rsidRPr="008741D6">
        <w:rPr>
          <w:rFonts w:ascii="Arial" w:eastAsia="Times New Roman" w:hAnsi="Arial" w:cs="Arial"/>
          <w:b/>
          <w:bCs/>
          <w:color w:val="201F1E"/>
          <w:bdr w:val="none" w:sz="0" w:space="0" w:color="auto" w:frame="1"/>
        </w:rPr>
        <w:t>dimensione rischio che caratterizza il futuro</w:t>
      </w:r>
      <w:r w:rsidRPr="008741D6">
        <w:rPr>
          <w:rFonts w:ascii="Arial" w:eastAsia="Times New Roman" w:hAnsi="Arial" w:cs="Arial"/>
          <w:color w:val="201F1E"/>
          <w:bdr w:val="none" w:sz="0" w:space="0" w:color="auto" w:frame="1"/>
        </w:rPr>
        <w:t xml:space="preserve"> (c.d. </w:t>
      </w:r>
      <w:proofErr w:type="spellStart"/>
      <w:r w:rsidRPr="008741D6">
        <w:rPr>
          <w:rFonts w:ascii="Arial" w:eastAsia="Times New Roman" w:hAnsi="Arial" w:cs="Arial"/>
          <w:color w:val="201F1E"/>
          <w:bdr w:val="none" w:sz="0" w:space="0" w:color="auto" w:frame="1"/>
        </w:rPr>
        <w:t>forward-looking</w:t>
      </w:r>
      <w:proofErr w:type="spellEnd"/>
      <w:r w:rsidRPr="008741D6">
        <w:rPr>
          <w:rFonts w:ascii="Arial" w:eastAsia="Times New Roman" w:hAnsi="Arial" w:cs="Arial"/>
          <w:color w:val="201F1E"/>
          <w:bdr w:val="none" w:sz="0" w:space="0" w:color="auto" w:frame="1"/>
        </w:rPr>
        <w:t xml:space="preserve"> </w:t>
      </w:r>
      <w:proofErr w:type="spellStart"/>
      <w:r w:rsidRPr="008741D6">
        <w:rPr>
          <w:rFonts w:ascii="Arial" w:eastAsia="Times New Roman" w:hAnsi="Arial" w:cs="Arial"/>
          <w:color w:val="201F1E"/>
          <w:bdr w:val="none" w:sz="0" w:space="0" w:color="auto" w:frame="1"/>
        </w:rPr>
        <w:t>approach</w:t>
      </w:r>
      <w:proofErr w:type="spellEnd"/>
      <w:r w:rsidRPr="008741D6">
        <w:rPr>
          <w:rFonts w:ascii="Arial" w:eastAsia="Times New Roman" w:hAnsi="Arial" w:cs="Arial"/>
          <w:color w:val="201F1E"/>
          <w:bdr w:val="none" w:sz="0" w:space="0" w:color="auto" w:frame="1"/>
        </w:rPr>
        <w:t>). Ciò comporterà l’utilizzo di modelli statistico-econometrici per poter considerare, oltre ai valori obiettivo definiti dall'impresa, tutti i possibili scenari di scostamento dagli obiettivi (scenari diversi per entità e probabilità di accadimento) e la quantificazione dei loro effetti. “L’approccio orientato al futuro - concludono i consiglieri - si coniuga con il radicale </w:t>
      </w:r>
      <w:r w:rsidRPr="008741D6">
        <w:rPr>
          <w:rFonts w:ascii="Arial" w:eastAsia="Times New Roman" w:hAnsi="Arial" w:cs="Arial"/>
          <w:b/>
          <w:bCs/>
          <w:color w:val="201F1E"/>
          <w:bdr w:val="none" w:sz="0" w:space="0" w:color="auto" w:frame="1"/>
        </w:rPr>
        <w:t>cambiamento del modello economico-aziendale</w:t>
      </w:r>
      <w:r w:rsidRPr="008741D6">
        <w:rPr>
          <w:rFonts w:ascii="Arial" w:eastAsia="Times New Roman" w:hAnsi="Arial" w:cs="Arial"/>
          <w:color w:val="201F1E"/>
          <w:bdr w:val="none" w:sz="0" w:space="0" w:color="auto" w:frame="1"/>
        </w:rPr>
        <w:t> di riferimento: dal tradizionale shareholder model basato sul primato dei portatori di capitale di rischio e sulla insindacabilità della </w:t>
      </w:r>
      <w:r w:rsidRPr="008741D6">
        <w:rPr>
          <w:rFonts w:ascii="Arial" w:eastAsia="Times New Roman" w:hAnsi="Arial" w:cs="Arial"/>
          <w:i/>
          <w:iCs/>
          <w:color w:val="201F1E"/>
          <w:bdr w:val="none" w:sz="0" w:space="0" w:color="auto" w:frame="1"/>
        </w:rPr>
        <w:t xml:space="preserve">corporate </w:t>
      </w:r>
      <w:proofErr w:type="spellStart"/>
      <w:r w:rsidRPr="008741D6">
        <w:rPr>
          <w:rFonts w:ascii="Arial" w:eastAsia="Times New Roman" w:hAnsi="Arial" w:cs="Arial"/>
          <w:i/>
          <w:iCs/>
          <w:color w:val="201F1E"/>
          <w:bdr w:val="none" w:sz="0" w:space="0" w:color="auto" w:frame="1"/>
        </w:rPr>
        <w:t>judgmental</w:t>
      </w:r>
      <w:proofErr w:type="spellEnd"/>
      <w:r w:rsidRPr="008741D6">
        <w:rPr>
          <w:rFonts w:ascii="Arial" w:eastAsia="Times New Roman" w:hAnsi="Arial" w:cs="Arial"/>
          <w:i/>
          <w:iCs/>
          <w:color w:val="201F1E"/>
          <w:bdr w:val="none" w:sz="0" w:space="0" w:color="auto" w:frame="1"/>
        </w:rPr>
        <w:t xml:space="preserve"> rule</w:t>
      </w:r>
      <w:r w:rsidRPr="008741D6">
        <w:rPr>
          <w:rFonts w:ascii="Arial" w:eastAsia="Times New Roman" w:hAnsi="Arial" w:cs="Arial"/>
          <w:color w:val="201F1E"/>
          <w:bdr w:val="none" w:sz="0" w:space="0" w:color="auto" w:frame="1"/>
        </w:rPr>
        <w:t> si passa a uno stakeholder model basato sulla </w:t>
      </w:r>
      <w:r w:rsidRPr="008741D6">
        <w:rPr>
          <w:rFonts w:ascii="Arial" w:eastAsia="Times New Roman" w:hAnsi="Arial" w:cs="Arial"/>
          <w:b/>
          <w:bCs/>
          <w:color w:val="201F1E"/>
          <w:bdr w:val="none" w:sz="0" w:space="0" w:color="auto" w:frame="1"/>
        </w:rPr>
        <w:t>prevalente tutela delle terze parti</w:t>
      </w:r>
      <w:r w:rsidRPr="008741D6">
        <w:rPr>
          <w:rFonts w:ascii="Arial" w:eastAsia="Times New Roman" w:hAnsi="Arial" w:cs="Arial"/>
          <w:color w:val="201F1E"/>
          <w:bdr w:val="none" w:sz="0" w:space="0" w:color="auto" w:frame="1"/>
        </w:rPr>
        <w:t> portatrici di interessi presenti all’interno e all’esterno dell’ambito aziendale”.</w:t>
      </w:r>
      <w:r w:rsidRPr="008741D6">
        <w:rPr>
          <w:rFonts w:eastAsia="Times New Roman"/>
          <w:color w:val="201F1E"/>
        </w:rPr>
        <w:t> </w:t>
      </w:r>
    </w:p>
    <w:p w14:paraId="29B038D3" w14:textId="77777777" w:rsidR="00DB4278" w:rsidRPr="008741D6" w:rsidRDefault="00DB4278" w:rsidP="008741D6">
      <w:pPr>
        <w:spacing w:after="0" w:line="240" w:lineRule="auto"/>
        <w:rPr>
          <w:color w:val="000000"/>
          <w:sz w:val="18"/>
          <w:szCs w:val="18"/>
        </w:rPr>
      </w:pPr>
    </w:p>
    <w:p w14:paraId="6C6C0441" w14:textId="06EC1246" w:rsidR="0081049B" w:rsidRPr="008741D6" w:rsidRDefault="0081049B" w:rsidP="008741D6">
      <w:pPr>
        <w:spacing w:after="0" w:line="240" w:lineRule="auto"/>
        <w:jc w:val="both"/>
        <w:rPr>
          <w:rFonts w:ascii="Arial" w:hAnsi="Arial" w:cs="Arial"/>
          <w:sz w:val="18"/>
          <w:szCs w:val="18"/>
        </w:rPr>
      </w:pPr>
    </w:p>
    <w:p w14:paraId="2985C732" w14:textId="0C3792BF" w:rsidR="0081049B" w:rsidRPr="008741D6" w:rsidRDefault="0081049B" w:rsidP="008741D6">
      <w:pPr>
        <w:spacing w:after="0" w:line="240" w:lineRule="auto"/>
        <w:jc w:val="both"/>
        <w:rPr>
          <w:rFonts w:ascii="Arial" w:hAnsi="Arial" w:cs="Arial"/>
          <w:sz w:val="18"/>
          <w:szCs w:val="18"/>
        </w:rPr>
      </w:pPr>
    </w:p>
    <w:p w14:paraId="4B056B19" w14:textId="29EA8363" w:rsidR="0081049B" w:rsidRPr="008741D6" w:rsidRDefault="0081049B" w:rsidP="008741D6">
      <w:pPr>
        <w:spacing w:after="0" w:line="240" w:lineRule="auto"/>
        <w:jc w:val="both"/>
        <w:rPr>
          <w:rFonts w:ascii="Arial" w:hAnsi="Arial" w:cs="Arial"/>
          <w:sz w:val="18"/>
          <w:szCs w:val="18"/>
        </w:rPr>
      </w:pPr>
    </w:p>
    <w:p w14:paraId="24BF369F" w14:textId="1B8AD52E" w:rsidR="0081049B" w:rsidRPr="008741D6" w:rsidRDefault="0081049B" w:rsidP="008741D6">
      <w:pPr>
        <w:spacing w:after="0" w:line="240" w:lineRule="auto"/>
        <w:jc w:val="both"/>
        <w:rPr>
          <w:rFonts w:ascii="Arial" w:hAnsi="Arial" w:cs="Arial"/>
          <w:sz w:val="18"/>
          <w:szCs w:val="18"/>
        </w:rPr>
      </w:pPr>
    </w:p>
    <w:p w14:paraId="38210447" w14:textId="65ADE4F8" w:rsidR="00C771BC" w:rsidRPr="008741D6" w:rsidRDefault="00C771BC" w:rsidP="0081049B">
      <w:pPr>
        <w:spacing w:after="0" w:line="240" w:lineRule="auto"/>
        <w:jc w:val="both"/>
        <w:rPr>
          <w:rFonts w:ascii="Arial" w:hAnsi="Arial" w:cs="Arial"/>
          <w:sz w:val="18"/>
          <w:szCs w:val="18"/>
        </w:rPr>
      </w:pPr>
    </w:p>
    <w:p w14:paraId="5B35DB61" w14:textId="3C2DF78C" w:rsidR="00C771BC" w:rsidRPr="008741D6" w:rsidRDefault="00C771BC" w:rsidP="0081049B">
      <w:pPr>
        <w:spacing w:after="0" w:line="240" w:lineRule="auto"/>
        <w:jc w:val="both"/>
        <w:rPr>
          <w:rFonts w:ascii="Arial" w:hAnsi="Arial" w:cs="Arial"/>
          <w:sz w:val="18"/>
          <w:szCs w:val="18"/>
        </w:rPr>
      </w:pPr>
    </w:p>
    <w:p w14:paraId="4A7E917F" w14:textId="74A09498" w:rsidR="00C771BC" w:rsidRPr="008741D6" w:rsidRDefault="00C771BC" w:rsidP="0081049B">
      <w:pPr>
        <w:spacing w:after="0" w:line="240" w:lineRule="auto"/>
        <w:jc w:val="both"/>
        <w:rPr>
          <w:rFonts w:ascii="Arial" w:hAnsi="Arial" w:cs="Arial"/>
          <w:sz w:val="18"/>
          <w:szCs w:val="18"/>
        </w:rPr>
      </w:pPr>
    </w:p>
    <w:p w14:paraId="4F7174CB" w14:textId="4E9A6709" w:rsidR="00C771BC" w:rsidRPr="008741D6" w:rsidRDefault="00C771BC" w:rsidP="0081049B">
      <w:pPr>
        <w:spacing w:after="0" w:line="240" w:lineRule="auto"/>
        <w:jc w:val="both"/>
        <w:rPr>
          <w:rFonts w:ascii="Arial" w:hAnsi="Arial" w:cs="Arial"/>
          <w:sz w:val="18"/>
          <w:szCs w:val="18"/>
        </w:rPr>
      </w:pPr>
    </w:p>
    <w:p w14:paraId="146FB590" w14:textId="1C95215E" w:rsidR="00C771BC" w:rsidRPr="008741D6" w:rsidRDefault="00C771BC" w:rsidP="0081049B">
      <w:pPr>
        <w:spacing w:after="0" w:line="240" w:lineRule="auto"/>
        <w:jc w:val="both"/>
        <w:rPr>
          <w:rFonts w:ascii="Arial" w:hAnsi="Arial" w:cs="Arial"/>
          <w:sz w:val="18"/>
          <w:szCs w:val="18"/>
        </w:rPr>
      </w:pPr>
    </w:p>
    <w:p w14:paraId="202DD4A3" w14:textId="1943419E" w:rsidR="00C771BC" w:rsidRPr="008741D6" w:rsidRDefault="00C771BC" w:rsidP="0081049B">
      <w:pPr>
        <w:spacing w:after="0" w:line="240" w:lineRule="auto"/>
        <w:jc w:val="both"/>
        <w:rPr>
          <w:rFonts w:ascii="Arial" w:hAnsi="Arial" w:cs="Arial"/>
          <w:sz w:val="18"/>
          <w:szCs w:val="18"/>
        </w:rPr>
      </w:pPr>
    </w:p>
    <w:p w14:paraId="4438FA0E" w14:textId="58DDB2A4" w:rsidR="00C771BC" w:rsidRPr="008741D6" w:rsidRDefault="00C771BC" w:rsidP="0081049B">
      <w:pPr>
        <w:spacing w:after="0" w:line="240" w:lineRule="auto"/>
        <w:jc w:val="both"/>
        <w:rPr>
          <w:rFonts w:ascii="Arial" w:hAnsi="Arial" w:cs="Arial"/>
          <w:sz w:val="18"/>
          <w:szCs w:val="18"/>
        </w:rPr>
      </w:pPr>
    </w:p>
    <w:p w14:paraId="4C1B2953" w14:textId="490D36A2" w:rsidR="00C771BC" w:rsidRPr="008741D6" w:rsidRDefault="00C771BC" w:rsidP="0081049B">
      <w:pPr>
        <w:spacing w:after="0" w:line="240" w:lineRule="auto"/>
        <w:jc w:val="both"/>
        <w:rPr>
          <w:rFonts w:ascii="Arial" w:hAnsi="Arial" w:cs="Arial"/>
          <w:sz w:val="18"/>
          <w:szCs w:val="18"/>
        </w:rPr>
      </w:pPr>
    </w:p>
    <w:p w14:paraId="03E78B3F" w14:textId="77777777" w:rsidR="00C771BC" w:rsidRPr="008741D6" w:rsidRDefault="00C771BC" w:rsidP="0081049B">
      <w:pPr>
        <w:spacing w:after="0" w:line="240" w:lineRule="auto"/>
        <w:jc w:val="both"/>
        <w:rPr>
          <w:rFonts w:ascii="Arial" w:hAnsi="Arial" w:cs="Arial"/>
          <w:sz w:val="18"/>
          <w:szCs w:val="18"/>
        </w:rPr>
      </w:pPr>
    </w:p>
    <w:p w14:paraId="3591E23C" w14:textId="4A744813" w:rsidR="0081049B" w:rsidRDefault="0081049B" w:rsidP="0081049B">
      <w:pPr>
        <w:spacing w:after="0" w:line="240" w:lineRule="auto"/>
        <w:jc w:val="both"/>
        <w:rPr>
          <w:rFonts w:ascii="Arial" w:hAnsi="Arial" w:cs="Arial"/>
          <w:sz w:val="18"/>
          <w:szCs w:val="18"/>
        </w:rPr>
      </w:pPr>
    </w:p>
    <w:p w14:paraId="69FDF09E" w14:textId="4E04D6EE" w:rsidR="008741D6" w:rsidRDefault="008741D6" w:rsidP="0081049B">
      <w:pPr>
        <w:spacing w:after="0" w:line="240" w:lineRule="auto"/>
        <w:jc w:val="both"/>
        <w:rPr>
          <w:rFonts w:ascii="Arial" w:hAnsi="Arial" w:cs="Arial"/>
          <w:sz w:val="18"/>
          <w:szCs w:val="18"/>
        </w:rPr>
      </w:pPr>
    </w:p>
    <w:p w14:paraId="2AB65A21" w14:textId="30AC6C85" w:rsidR="008741D6" w:rsidRDefault="008741D6" w:rsidP="0081049B">
      <w:pPr>
        <w:spacing w:after="0" w:line="240" w:lineRule="auto"/>
        <w:jc w:val="both"/>
        <w:rPr>
          <w:rFonts w:ascii="Arial" w:hAnsi="Arial" w:cs="Arial"/>
          <w:sz w:val="18"/>
          <w:szCs w:val="18"/>
        </w:rPr>
      </w:pPr>
    </w:p>
    <w:p w14:paraId="61CBFD8F" w14:textId="69CB4F95" w:rsidR="008741D6" w:rsidRDefault="008741D6" w:rsidP="0081049B">
      <w:pPr>
        <w:spacing w:after="0" w:line="240" w:lineRule="auto"/>
        <w:jc w:val="both"/>
        <w:rPr>
          <w:rFonts w:ascii="Arial" w:hAnsi="Arial" w:cs="Arial"/>
          <w:sz w:val="18"/>
          <w:szCs w:val="18"/>
        </w:rPr>
      </w:pPr>
    </w:p>
    <w:p w14:paraId="37B8F1E7" w14:textId="4D24FE8A" w:rsidR="008741D6" w:rsidRDefault="008741D6" w:rsidP="0081049B">
      <w:pPr>
        <w:spacing w:after="0" w:line="240" w:lineRule="auto"/>
        <w:jc w:val="both"/>
        <w:rPr>
          <w:rFonts w:ascii="Arial" w:hAnsi="Arial" w:cs="Arial"/>
          <w:sz w:val="18"/>
          <w:szCs w:val="18"/>
        </w:rPr>
      </w:pPr>
    </w:p>
    <w:p w14:paraId="35C5E28F" w14:textId="03916B75" w:rsidR="008741D6" w:rsidRDefault="008741D6" w:rsidP="0081049B">
      <w:pPr>
        <w:spacing w:after="0" w:line="240" w:lineRule="auto"/>
        <w:jc w:val="both"/>
        <w:rPr>
          <w:rFonts w:ascii="Arial" w:hAnsi="Arial" w:cs="Arial"/>
          <w:sz w:val="18"/>
          <w:szCs w:val="18"/>
        </w:rPr>
      </w:pPr>
    </w:p>
    <w:p w14:paraId="7CD4235E" w14:textId="715DD25E" w:rsidR="008741D6" w:rsidRDefault="008741D6" w:rsidP="0081049B">
      <w:pPr>
        <w:spacing w:after="0" w:line="240" w:lineRule="auto"/>
        <w:jc w:val="both"/>
        <w:rPr>
          <w:rFonts w:ascii="Arial" w:hAnsi="Arial" w:cs="Arial"/>
          <w:sz w:val="18"/>
          <w:szCs w:val="18"/>
        </w:rPr>
      </w:pPr>
    </w:p>
    <w:p w14:paraId="375C5EDA" w14:textId="6DAFB107" w:rsidR="008741D6" w:rsidRDefault="008741D6" w:rsidP="0081049B">
      <w:pPr>
        <w:spacing w:after="0" w:line="240" w:lineRule="auto"/>
        <w:jc w:val="both"/>
        <w:rPr>
          <w:rFonts w:ascii="Arial" w:hAnsi="Arial" w:cs="Arial"/>
          <w:sz w:val="18"/>
          <w:szCs w:val="18"/>
        </w:rPr>
      </w:pPr>
    </w:p>
    <w:p w14:paraId="08273F99" w14:textId="64BF9357" w:rsidR="008741D6" w:rsidRDefault="008741D6" w:rsidP="0081049B">
      <w:pPr>
        <w:spacing w:after="0" w:line="240" w:lineRule="auto"/>
        <w:jc w:val="both"/>
        <w:rPr>
          <w:rFonts w:ascii="Arial" w:hAnsi="Arial" w:cs="Arial"/>
          <w:sz w:val="18"/>
          <w:szCs w:val="18"/>
        </w:rPr>
      </w:pPr>
    </w:p>
    <w:p w14:paraId="24846ABE" w14:textId="06FFB15A" w:rsidR="008741D6" w:rsidRDefault="008741D6" w:rsidP="0081049B">
      <w:pPr>
        <w:spacing w:after="0" w:line="240" w:lineRule="auto"/>
        <w:jc w:val="both"/>
        <w:rPr>
          <w:rFonts w:ascii="Arial" w:hAnsi="Arial" w:cs="Arial"/>
          <w:sz w:val="18"/>
          <w:szCs w:val="18"/>
        </w:rPr>
      </w:pPr>
    </w:p>
    <w:p w14:paraId="1A437143" w14:textId="285CC739" w:rsidR="008741D6" w:rsidRDefault="008741D6" w:rsidP="0081049B">
      <w:pPr>
        <w:spacing w:after="0" w:line="240" w:lineRule="auto"/>
        <w:jc w:val="both"/>
        <w:rPr>
          <w:rFonts w:ascii="Arial" w:hAnsi="Arial" w:cs="Arial"/>
          <w:sz w:val="18"/>
          <w:szCs w:val="18"/>
        </w:rPr>
      </w:pPr>
    </w:p>
    <w:p w14:paraId="0A538BCF" w14:textId="77777777" w:rsidR="008741D6" w:rsidRPr="008741D6" w:rsidRDefault="008741D6" w:rsidP="0081049B">
      <w:pPr>
        <w:spacing w:after="0" w:line="240" w:lineRule="auto"/>
        <w:jc w:val="both"/>
        <w:rPr>
          <w:rFonts w:ascii="Arial" w:hAnsi="Arial" w:cs="Arial"/>
          <w:sz w:val="18"/>
          <w:szCs w:val="18"/>
        </w:rPr>
      </w:pPr>
    </w:p>
    <w:p w14:paraId="4B88A2B6" w14:textId="77777777" w:rsidR="0081049B" w:rsidRPr="008741D6" w:rsidRDefault="0081049B" w:rsidP="00656D74">
      <w:pPr>
        <w:spacing w:after="0" w:line="240" w:lineRule="auto"/>
        <w:jc w:val="center"/>
        <w:rPr>
          <w:rFonts w:ascii="Arial" w:hAnsi="Arial" w:cs="Arial"/>
          <w:b/>
          <w:bCs/>
          <w:color w:val="4472C4" w:themeColor="accent1"/>
          <w:sz w:val="18"/>
          <w:szCs w:val="18"/>
        </w:rPr>
      </w:pPr>
    </w:p>
    <w:p w14:paraId="32FDB2A0" w14:textId="53D70E7C" w:rsidR="00656D74" w:rsidRPr="008741D6" w:rsidRDefault="00656D74" w:rsidP="00656D74">
      <w:pPr>
        <w:spacing w:after="0" w:line="240" w:lineRule="auto"/>
        <w:jc w:val="center"/>
        <w:rPr>
          <w:rFonts w:ascii="Arial" w:hAnsi="Arial" w:cs="Arial"/>
          <w:b/>
          <w:bCs/>
          <w:color w:val="4472C4" w:themeColor="accent1"/>
          <w:sz w:val="18"/>
          <w:szCs w:val="18"/>
        </w:rPr>
      </w:pPr>
      <w:r w:rsidRPr="008741D6">
        <w:rPr>
          <w:rFonts w:ascii="Arial" w:hAnsi="Arial" w:cs="Arial"/>
          <w:b/>
          <w:bCs/>
          <w:color w:val="4472C4" w:themeColor="accent1"/>
          <w:sz w:val="18"/>
          <w:szCs w:val="18"/>
        </w:rPr>
        <w:t>UFFICIO STAMPA E COMUNICAZIONE</w:t>
      </w:r>
    </w:p>
    <w:p w14:paraId="49BA71C0" w14:textId="47CC3119" w:rsidR="00656D74" w:rsidRPr="008741D6" w:rsidRDefault="00C47953" w:rsidP="00656D74">
      <w:pPr>
        <w:spacing w:after="0" w:line="240" w:lineRule="auto"/>
        <w:jc w:val="center"/>
        <w:rPr>
          <w:rFonts w:ascii="Arial" w:hAnsi="Arial" w:cs="Arial"/>
          <w:b/>
          <w:bCs/>
          <w:color w:val="4472C4" w:themeColor="accent1"/>
          <w:sz w:val="18"/>
          <w:szCs w:val="18"/>
        </w:rPr>
      </w:pPr>
      <w:r w:rsidRPr="008741D6">
        <w:rPr>
          <w:rFonts w:ascii="Arial" w:hAnsi="Arial" w:cs="Arial"/>
          <w:b/>
          <w:bCs/>
          <w:color w:val="4472C4" w:themeColor="accent1"/>
          <w:sz w:val="18"/>
          <w:szCs w:val="18"/>
        </w:rPr>
        <w:t>Tiziana Mastrogiacomo</w:t>
      </w:r>
      <w:r w:rsidR="003935EA" w:rsidRPr="008741D6">
        <w:rPr>
          <w:rFonts w:ascii="Arial" w:hAnsi="Arial" w:cs="Arial"/>
          <w:b/>
          <w:bCs/>
          <w:color w:val="4472C4" w:themeColor="accent1"/>
          <w:sz w:val="18"/>
          <w:szCs w:val="18"/>
        </w:rPr>
        <w:t xml:space="preserve"> </w:t>
      </w:r>
      <w:r w:rsidRPr="008741D6">
        <w:rPr>
          <w:rFonts w:ascii="Arial" w:hAnsi="Arial" w:cs="Arial"/>
          <w:b/>
          <w:bCs/>
          <w:color w:val="4472C4" w:themeColor="accent1"/>
          <w:sz w:val="18"/>
          <w:szCs w:val="18"/>
        </w:rPr>
        <w:t>–</w:t>
      </w:r>
      <w:r w:rsidR="003935EA" w:rsidRPr="008741D6">
        <w:rPr>
          <w:rFonts w:ascii="Arial" w:hAnsi="Arial" w:cs="Arial"/>
          <w:b/>
          <w:bCs/>
          <w:color w:val="4472C4" w:themeColor="accent1"/>
          <w:sz w:val="18"/>
          <w:szCs w:val="18"/>
        </w:rPr>
        <w:t xml:space="preserve"> </w:t>
      </w:r>
      <w:r w:rsidRPr="008741D6">
        <w:rPr>
          <w:rFonts w:ascii="Arial" w:hAnsi="Arial" w:cs="Arial"/>
          <w:b/>
          <w:bCs/>
          <w:color w:val="4472C4" w:themeColor="accent1"/>
          <w:sz w:val="18"/>
          <w:szCs w:val="18"/>
        </w:rPr>
        <w:t>+39 06 47863623</w:t>
      </w:r>
    </w:p>
    <w:p w14:paraId="10AAB37C" w14:textId="77777777" w:rsidR="00656D74" w:rsidRPr="008741D6" w:rsidRDefault="00735859" w:rsidP="00656D74">
      <w:pPr>
        <w:spacing w:after="0" w:line="240" w:lineRule="auto"/>
        <w:jc w:val="center"/>
        <w:rPr>
          <w:rFonts w:ascii="Arial" w:hAnsi="Arial" w:cs="Arial"/>
          <w:b/>
          <w:bCs/>
          <w:color w:val="4472C4" w:themeColor="accent1"/>
          <w:sz w:val="18"/>
          <w:szCs w:val="18"/>
        </w:rPr>
      </w:pPr>
      <w:hyperlink r:id="rId6" w:history="1">
        <w:r w:rsidR="00656D74" w:rsidRPr="008741D6">
          <w:rPr>
            <w:rStyle w:val="Collegamentoipertestuale"/>
            <w:rFonts w:ascii="Arial" w:hAnsi="Arial" w:cs="Arial"/>
            <w:b/>
            <w:bCs/>
            <w:sz w:val="18"/>
            <w:szCs w:val="18"/>
            <w:u w:val="none"/>
          </w:rPr>
          <w:t>stampa@commercialisti.it</w:t>
        </w:r>
      </w:hyperlink>
      <w:r w:rsidR="00656D74" w:rsidRPr="008741D6">
        <w:rPr>
          <w:rFonts w:ascii="Arial" w:hAnsi="Arial" w:cs="Arial"/>
          <w:b/>
          <w:bCs/>
          <w:color w:val="4472C4" w:themeColor="accent1"/>
          <w:sz w:val="18"/>
          <w:szCs w:val="18"/>
        </w:rPr>
        <w:t xml:space="preserve"> </w:t>
      </w:r>
    </w:p>
    <w:p w14:paraId="00A31343" w14:textId="77777777" w:rsidR="00656D74" w:rsidRPr="008741D6" w:rsidRDefault="00656D74" w:rsidP="00137250">
      <w:pPr>
        <w:spacing w:after="0" w:line="240" w:lineRule="auto"/>
        <w:jc w:val="center"/>
        <w:rPr>
          <w:rFonts w:ascii="Arial" w:hAnsi="Arial" w:cs="Arial"/>
          <w:color w:val="4472C4" w:themeColor="accent1"/>
          <w:sz w:val="18"/>
          <w:szCs w:val="18"/>
        </w:rPr>
      </w:pPr>
    </w:p>
    <w:p w14:paraId="6EBFD527" w14:textId="739CC952" w:rsidR="00137250" w:rsidRPr="008741D6" w:rsidRDefault="00137250" w:rsidP="00137250">
      <w:pPr>
        <w:spacing w:after="0" w:line="240" w:lineRule="auto"/>
        <w:jc w:val="center"/>
        <w:rPr>
          <w:rFonts w:ascii="Arial" w:hAnsi="Arial" w:cs="Arial"/>
          <w:color w:val="4472C4" w:themeColor="accent1"/>
          <w:sz w:val="18"/>
          <w:szCs w:val="18"/>
        </w:rPr>
      </w:pPr>
      <w:r w:rsidRPr="008741D6">
        <w:rPr>
          <w:rFonts w:ascii="Arial" w:hAnsi="Arial" w:cs="Arial"/>
          <w:noProof/>
          <w:sz w:val="18"/>
          <w:szCs w:val="18"/>
        </w:rPr>
        <w:drawing>
          <wp:inline distT="0" distB="0" distL="0" distR="0" wp14:anchorId="44D65C4F" wp14:editId="6EA01B30">
            <wp:extent cx="447675" cy="447675"/>
            <wp:effectExtent l="0" t="0" r="9525" b="9525"/>
            <wp:docPr id="8" name="Immagine 8" descr="Facebook 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Facebook ic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8741D6">
        <w:rPr>
          <w:rFonts w:ascii="Arial" w:hAnsi="Arial" w:cs="Arial"/>
          <w:noProof/>
          <w:sz w:val="18"/>
          <w:szCs w:val="18"/>
        </w:rPr>
        <w:drawing>
          <wp:inline distT="0" distB="0" distL="0" distR="0" wp14:anchorId="0F3FEE23" wp14:editId="229F6532">
            <wp:extent cx="447675" cy="447675"/>
            <wp:effectExtent l="0" t="0" r="9525" b="9525"/>
            <wp:docPr id="6" name="Immagine 6" descr="LinkedIn 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LinkedIn ic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8741D6">
        <w:rPr>
          <w:rFonts w:ascii="Arial" w:hAnsi="Arial" w:cs="Arial"/>
          <w:noProof/>
          <w:sz w:val="18"/>
          <w:szCs w:val="18"/>
        </w:rPr>
        <w:drawing>
          <wp:inline distT="0" distB="0" distL="0" distR="0" wp14:anchorId="57F9F6A5" wp14:editId="2B77FCB9">
            <wp:extent cx="447675" cy="447675"/>
            <wp:effectExtent l="0" t="0" r="9525" b="9525"/>
            <wp:docPr id="9" name="Immagine 9" descr="Twitter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Twitter ico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003C2E00" w:rsidRPr="008741D6">
        <w:rPr>
          <w:rFonts w:ascii="Arial" w:hAnsi="Arial" w:cs="Arial"/>
          <w:noProof/>
          <w:sz w:val="18"/>
          <w:szCs w:val="18"/>
        </w:rPr>
        <w:drawing>
          <wp:inline distT="0" distB="0" distL="0" distR="0" wp14:anchorId="1DD569D5" wp14:editId="234CA536">
            <wp:extent cx="457200" cy="457200"/>
            <wp:effectExtent l="0" t="0" r="0" b="0"/>
            <wp:docPr id="3" name="Immagine 3" descr="Instagram 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nstagram ico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8741D6">
        <w:rPr>
          <w:rFonts w:ascii="Arial" w:hAnsi="Arial" w:cs="Arial"/>
          <w:noProof/>
          <w:sz w:val="18"/>
          <w:szCs w:val="18"/>
        </w:rPr>
        <w:drawing>
          <wp:inline distT="0" distB="0" distL="0" distR="0" wp14:anchorId="35270473" wp14:editId="34E26EF1">
            <wp:extent cx="447675" cy="447675"/>
            <wp:effectExtent l="0" t="0" r="9525" b="9525"/>
            <wp:docPr id="10" name="Immagine 10" descr="Youtube 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Youtube ico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60E45582" w14:textId="77777777" w:rsidR="00144BD8" w:rsidRPr="008741D6" w:rsidRDefault="00144BD8" w:rsidP="00137250">
      <w:pPr>
        <w:spacing w:after="0" w:line="240" w:lineRule="auto"/>
        <w:jc w:val="center"/>
        <w:rPr>
          <w:rFonts w:ascii="Arial" w:hAnsi="Arial" w:cs="Arial"/>
          <w:color w:val="4472C4" w:themeColor="accent1"/>
          <w:sz w:val="18"/>
          <w:szCs w:val="18"/>
        </w:rPr>
      </w:pPr>
    </w:p>
    <w:p w14:paraId="4E444063" w14:textId="77777777" w:rsidR="00CA5E3D" w:rsidRPr="008741D6" w:rsidRDefault="00CA5E3D" w:rsidP="00137250">
      <w:pPr>
        <w:pStyle w:val="Pidipagina"/>
        <w:rPr>
          <w:rFonts w:ascii="Arial" w:hAnsi="Arial" w:cs="Arial"/>
          <w:sz w:val="18"/>
          <w:szCs w:val="18"/>
        </w:rPr>
      </w:pPr>
    </w:p>
    <w:p w14:paraId="0C4EFC21" w14:textId="77777777" w:rsidR="0081049B" w:rsidRPr="008741D6" w:rsidRDefault="00656D74" w:rsidP="00656D74">
      <w:pPr>
        <w:spacing w:after="0" w:line="240" w:lineRule="auto"/>
        <w:jc w:val="center"/>
        <w:rPr>
          <w:rFonts w:ascii="Arial" w:hAnsi="Arial" w:cs="Arial"/>
          <w:b/>
          <w:bCs/>
          <w:color w:val="4472C4" w:themeColor="accent1"/>
          <w:sz w:val="18"/>
          <w:szCs w:val="18"/>
        </w:rPr>
      </w:pPr>
      <w:r w:rsidRPr="008741D6">
        <w:rPr>
          <w:rFonts w:ascii="Arial" w:hAnsi="Arial" w:cs="Arial"/>
          <w:b/>
          <w:bCs/>
          <w:color w:val="4472C4" w:themeColor="accent1"/>
          <w:sz w:val="18"/>
          <w:szCs w:val="18"/>
        </w:rPr>
        <w:t>CONSIGLIO NAZIONALE DEI DOTTORI COMMERCIALISTI E DEGLI ESPERTI CONTABILI</w:t>
      </w:r>
    </w:p>
    <w:p w14:paraId="4F4C3CCB" w14:textId="4B7CC2EE" w:rsidR="00656D74" w:rsidRPr="008741D6" w:rsidRDefault="00656D74" w:rsidP="00656D74">
      <w:pPr>
        <w:spacing w:after="0" w:line="240" w:lineRule="auto"/>
        <w:jc w:val="center"/>
        <w:rPr>
          <w:rFonts w:ascii="Arial" w:hAnsi="Arial" w:cs="Arial"/>
          <w:color w:val="4472C4" w:themeColor="accent1"/>
          <w:sz w:val="18"/>
          <w:szCs w:val="18"/>
        </w:rPr>
      </w:pPr>
      <w:r w:rsidRPr="008741D6">
        <w:rPr>
          <w:rFonts w:ascii="Arial" w:hAnsi="Arial" w:cs="Arial"/>
          <w:color w:val="4472C4" w:themeColor="accent1"/>
          <w:sz w:val="18"/>
          <w:szCs w:val="18"/>
        </w:rPr>
        <w:t>Piazza della Repubblica, 59 – 00185 ROMA | www.commercialisti.it</w:t>
      </w:r>
    </w:p>
    <w:p w14:paraId="26925674" w14:textId="2E510548" w:rsidR="00F362C1" w:rsidRPr="008741D6" w:rsidRDefault="00F362C1" w:rsidP="00DD1BB9">
      <w:pPr>
        <w:spacing w:after="0" w:line="240" w:lineRule="auto"/>
        <w:jc w:val="center"/>
        <w:rPr>
          <w:rFonts w:ascii="Arial" w:hAnsi="Arial" w:cs="Arial"/>
          <w:color w:val="4472C4" w:themeColor="accent1"/>
          <w:sz w:val="18"/>
          <w:szCs w:val="18"/>
        </w:rPr>
      </w:pPr>
    </w:p>
    <w:p w14:paraId="75445D04" w14:textId="77777777" w:rsidR="0081049B" w:rsidRPr="008741D6" w:rsidRDefault="0081049B" w:rsidP="00DD1BB9">
      <w:pPr>
        <w:spacing w:after="0" w:line="240" w:lineRule="auto"/>
        <w:jc w:val="center"/>
        <w:rPr>
          <w:rFonts w:ascii="Arial" w:hAnsi="Arial" w:cs="Arial"/>
          <w:color w:val="4472C4" w:themeColor="accent1"/>
        </w:rPr>
      </w:pPr>
    </w:p>
    <w:sectPr w:rsidR="0081049B" w:rsidRPr="008741D6">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AEDB" w14:textId="77777777" w:rsidR="00735859" w:rsidRDefault="00735859" w:rsidP="00C244F9">
      <w:pPr>
        <w:spacing w:after="0" w:line="240" w:lineRule="auto"/>
      </w:pPr>
      <w:r>
        <w:separator/>
      </w:r>
    </w:p>
  </w:endnote>
  <w:endnote w:type="continuationSeparator" w:id="0">
    <w:p w14:paraId="3CB2C921" w14:textId="77777777" w:rsidR="00735859" w:rsidRDefault="00735859"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48EB" w14:textId="77777777" w:rsidR="00735859" w:rsidRDefault="00735859" w:rsidP="00C244F9">
      <w:pPr>
        <w:spacing w:after="0" w:line="240" w:lineRule="auto"/>
      </w:pPr>
      <w:r>
        <w:separator/>
      </w:r>
    </w:p>
  </w:footnote>
  <w:footnote w:type="continuationSeparator" w:id="0">
    <w:p w14:paraId="2F0003CB" w14:textId="77777777" w:rsidR="00735859" w:rsidRDefault="00735859"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12080D7" w:rsidR="008C37D4" w:rsidRPr="002B78A5" w:rsidRDefault="008C37D4" w:rsidP="00462488">
    <w:pPr>
      <w:pStyle w:val="Intestazione"/>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56459"/>
    <w:rsid w:val="000B235F"/>
    <w:rsid w:val="000D60C6"/>
    <w:rsid w:val="00137250"/>
    <w:rsid w:val="00144BD8"/>
    <w:rsid w:val="001E788E"/>
    <w:rsid w:val="002B78A5"/>
    <w:rsid w:val="002C41B2"/>
    <w:rsid w:val="0031138F"/>
    <w:rsid w:val="003773A3"/>
    <w:rsid w:val="003935EA"/>
    <w:rsid w:val="003C2E00"/>
    <w:rsid w:val="00410906"/>
    <w:rsid w:val="00462488"/>
    <w:rsid w:val="00542E37"/>
    <w:rsid w:val="005E349C"/>
    <w:rsid w:val="005F08F9"/>
    <w:rsid w:val="00605191"/>
    <w:rsid w:val="00656D74"/>
    <w:rsid w:val="00735859"/>
    <w:rsid w:val="00756705"/>
    <w:rsid w:val="0081049B"/>
    <w:rsid w:val="00813B39"/>
    <w:rsid w:val="008741D6"/>
    <w:rsid w:val="008C37D4"/>
    <w:rsid w:val="00932DC5"/>
    <w:rsid w:val="009C53C6"/>
    <w:rsid w:val="009F4D75"/>
    <w:rsid w:val="00A604B1"/>
    <w:rsid w:val="00A866E4"/>
    <w:rsid w:val="00B73BD6"/>
    <w:rsid w:val="00BB3D1D"/>
    <w:rsid w:val="00C244F9"/>
    <w:rsid w:val="00C47953"/>
    <w:rsid w:val="00C771BC"/>
    <w:rsid w:val="00CA5E3D"/>
    <w:rsid w:val="00D06F3A"/>
    <w:rsid w:val="00DB4278"/>
    <w:rsid w:val="00DD1BB9"/>
    <w:rsid w:val="00DF6872"/>
    <w:rsid w:val="00E50272"/>
    <w:rsid w:val="00E507D0"/>
    <w:rsid w:val="00E76F12"/>
    <w:rsid w:val="00EC2930"/>
    <w:rsid w:val="00F04783"/>
    <w:rsid w:val="00F362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997733816">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commercialisti.i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consigliocommercialisti"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mailto:stampa@commercialisti.it" TargetMode="External"/><Relationship Id="rId11" Type="http://schemas.openxmlformats.org/officeDocument/2006/relationships/hyperlink" Target="https://twitter.com/CndcecConsiglio" TargetMode="External"/><Relationship Id="rId5" Type="http://schemas.openxmlformats.org/officeDocument/2006/relationships/endnotes" Target="endnotes.xml"/><Relationship Id="rId15" Type="http://schemas.openxmlformats.org/officeDocument/2006/relationships/hyperlink" Target="https://www.youtube.com/channel/UC-GGJbEkA4ip9UdMK-dMt0Q"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linkedin.com/company/consiglio-nazionale-commercialisti/mycompany/?viewAsMember=tru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841</Words>
  <Characters>4799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7</cp:revision>
  <dcterms:created xsi:type="dcterms:W3CDTF">2021-04-21T08:39:00Z</dcterms:created>
  <dcterms:modified xsi:type="dcterms:W3CDTF">2021-04-21T13:00:00Z</dcterms:modified>
</cp:coreProperties>
</file>