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298B" w14:textId="6248602B" w:rsidR="00A06F8E" w:rsidRDefault="00A06F8E" w:rsidP="009A3EB5">
      <w:pPr>
        <w:pStyle w:val="xmsonormal0"/>
        <w:shd w:val="clear" w:color="auto" w:fill="FFFFFF"/>
        <w:jc w:val="center"/>
        <w:rPr>
          <w:rFonts w:ascii="Arial" w:hAnsi="Arial" w:cs="Arial"/>
          <w:b/>
          <w:bCs/>
          <w:color w:val="000000"/>
          <w:sz w:val="24"/>
          <w:szCs w:val="24"/>
          <w:u w:val="single"/>
          <w:bdr w:val="none" w:sz="0" w:space="0" w:color="auto" w:frame="1"/>
        </w:rPr>
      </w:pPr>
    </w:p>
    <w:p w14:paraId="565AFF03" w14:textId="77777777" w:rsidR="00321FE4" w:rsidRDefault="00321FE4" w:rsidP="009A3EB5">
      <w:pPr>
        <w:pStyle w:val="xmsonormal0"/>
        <w:shd w:val="clear" w:color="auto" w:fill="FFFFFF"/>
        <w:jc w:val="center"/>
        <w:rPr>
          <w:rFonts w:ascii="Arial" w:hAnsi="Arial" w:cs="Arial"/>
          <w:b/>
          <w:bCs/>
          <w:color w:val="000000"/>
          <w:sz w:val="24"/>
          <w:szCs w:val="24"/>
          <w:u w:val="single"/>
          <w:bdr w:val="none" w:sz="0" w:space="0" w:color="auto" w:frame="1"/>
        </w:rPr>
      </w:pPr>
      <w:bookmarkStart w:id="0" w:name="_Hlk114743328"/>
    </w:p>
    <w:p w14:paraId="49C9E57E" w14:textId="12AB72AC" w:rsidR="009A3EB5" w:rsidRDefault="009A3EB5" w:rsidP="009A3EB5">
      <w:pPr>
        <w:pStyle w:val="xmsonormal0"/>
        <w:shd w:val="clear" w:color="auto" w:fill="FFFFFF"/>
        <w:jc w:val="center"/>
        <w:rPr>
          <w:rFonts w:ascii="Times New Roman" w:hAnsi="Times New Roman" w:cs="Times New Roman"/>
          <w:color w:val="000000"/>
          <w:sz w:val="24"/>
          <w:szCs w:val="24"/>
        </w:rPr>
      </w:pPr>
      <w:r>
        <w:rPr>
          <w:rFonts w:ascii="Arial" w:hAnsi="Arial" w:cs="Arial"/>
          <w:b/>
          <w:bCs/>
          <w:color w:val="000000"/>
          <w:sz w:val="24"/>
          <w:szCs w:val="24"/>
          <w:u w:val="single"/>
          <w:bdr w:val="none" w:sz="0" w:space="0" w:color="auto" w:frame="1"/>
        </w:rPr>
        <w:t>Comunicato stampa</w:t>
      </w:r>
      <w:r>
        <w:rPr>
          <w:rFonts w:ascii="Times New Roman" w:hAnsi="Times New Roman" w:cs="Times New Roman"/>
          <w:color w:val="000000"/>
          <w:sz w:val="24"/>
          <w:szCs w:val="24"/>
        </w:rPr>
        <w:t> </w:t>
      </w:r>
    </w:p>
    <w:bookmarkEnd w:id="0"/>
    <w:p w14:paraId="119F675C" w14:textId="77777777" w:rsidR="00DA73B5" w:rsidRPr="00CD25EF" w:rsidRDefault="00DA73B5" w:rsidP="00CD25EF">
      <w:pPr>
        <w:jc w:val="center"/>
        <w:rPr>
          <w:rFonts w:ascii="Arial" w:hAnsi="Arial" w:cs="Arial"/>
          <w:b/>
          <w:bCs/>
          <w:u w:val="single"/>
        </w:rPr>
      </w:pPr>
    </w:p>
    <w:p w14:paraId="296A0ABD" w14:textId="175928BF" w:rsidR="00CD25EF" w:rsidRPr="00CD25EF" w:rsidRDefault="00CD25EF" w:rsidP="00CD25EF">
      <w:pPr>
        <w:widowControl w:val="0"/>
        <w:tabs>
          <w:tab w:val="left" w:pos="993"/>
          <w:tab w:val="right" w:pos="9638"/>
        </w:tabs>
        <w:autoSpaceDE w:val="0"/>
        <w:autoSpaceDN w:val="0"/>
        <w:adjustRightInd w:val="0"/>
        <w:ind w:left="993" w:hanging="993"/>
        <w:jc w:val="center"/>
        <w:rPr>
          <w:rFonts w:ascii="Arial" w:hAnsi="Arial" w:cs="Arial"/>
          <w:b/>
          <w:bCs/>
          <w:color w:val="000000"/>
        </w:rPr>
      </w:pPr>
      <w:r w:rsidRPr="00CD25EF">
        <w:rPr>
          <w:rFonts w:ascii="Arial" w:hAnsi="Arial" w:cs="Arial"/>
          <w:b/>
          <w:bCs/>
          <w:color w:val="000000"/>
        </w:rPr>
        <w:t>COMMERCIALISTI: RAVVEDIMENTO OPEROSO, RIDU</w:t>
      </w:r>
      <w:r w:rsidR="00371902">
        <w:rPr>
          <w:rFonts w:ascii="Arial" w:hAnsi="Arial" w:cs="Arial"/>
          <w:b/>
          <w:bCs/>
          <w:color w:val="000000"/>
        </w:rPr>
        <w:t>RRE</w:t>
      </w:r>
      <w:r w:rsidRPr="00CD25EF">
        <w:rPr>
          <w:rFonts w:ascii="Arial" w:hAnsi="Arial" w:cs="Arial"/>
          <w:b/>
          <w:bCs/>
          <w:color w:val="000000"/>
        </w:rPr>
        <w:t xml:space="preserve"> IL TASSO DEGLI INTERESSI MORATORI</w:t>
      </w:r>
    </w:p>
    <w:p w14:paraId="5558832D" w14:textId="77777777" w:rsidR="00CD25EF" w:rsidRPr="00CD25EF" w:rsidRDefault="00CD25EF" w:rsidP="00CD25EF">
      <w:pPr>
        <w:widowControl w:val="0"/>
        <w:tabs>
          <w:tab w:val="left" w:pos="993"/>
          <w:tab w:val="right" w:pos="9638"/>
        </w:tabs>
        <w:autoSpaceDE w:val="0"/>
        <w:autoSpaceDN w:val="0"/>
        <w:adjustRightInd w:val="0"/>
        <w:ind w:left="993" w:hanging="993"/>
        <w:jc w:val="both"/>
        <w:rPr>
          <w:rFonts w:ascii="Arial" w:hAnsi="Arial" w:cs="Arial"/>
          <w:b/>
          <w:bCs/>
          <w:color w:val="000000"/>
        </w:rPr>
      </w:pPr>
    </w:p>
    <w:p w14:paraId="101B2E71" w14:textId="3AE9A9F1" w:rsidR="00CD25EF" w:rsidRPr="00CD25EF" w:rsidRDefault="00CD25EF" w:rsidP="00CD25EF">
      <w:pPr>
        <w:widowControl w:val="0"/>
        <w:tabs>
          <w:tab w:val="right" w:pos="9638"/>
        </w:tabs>
        <w:autoSpaceDE w:val="0"/>
        <w:autoSpaceDN w:val="0"/>
        <w:adjustRightInd w:val="0"/>
        <w:jc w:val="center"/>
        <w:rPr>
          <w:rFonts w:ascii="Arial" w:hAnsi="Arial" w:cs="Arial"/>
          <w:b/>
          <w:bCs/>
          <w:color w:val="000000"/>
        </w:rPr>
      </w:pPr>
      <w:r w:rsidRPr="00CD25EF">
        <w:rPr>
          <w:rFonts w:ascii="Arial" w:hAnsi="Arial" w:cs="Arial"/>
          <w:b/>
          <w:bCs/>
          <w:color w:val="000000"/>
        </w:rPr>
        <w:t>Il Consiglio nazionale scrive a Giorgetti e Leo. De Nuccio: “</w:t>
      </w:r>
      <w:r w:rsidR="00D079A1">
        <w:rPr>
          <w:rFonts w:ascii="Arial" w:hAnsi="Arial" w:cs="Arial"/>
          <w:b/>
          <w:bCs/>
          <w:color w:val="000000"/>
        </w:rPr>
        <w:t>L’</w:t>
      </w:r>
      <w:r w:rsidRPr="00CD25EF">
        <w:rPr>
          <w:rFonts w:ascii="Arial" w:hAnsi="Arial" w:cs="Arial"/>
          <w:b/>
          <w:bCs/>
          <w:color w:val="000000"/>
        </w:rPr>
        <w:t>incremento del saggio degli interessi legali nel prossimo anno rend</w:t>
      </w:r>
      <w:r w:rsidR="00371902">
        <w:rPr>
          <w:rFonts w:ascii="Arial" w:hAnsi="Arial" w:cs="Arial"/>
          <w:b/>
          <w:bCs/>
          <w:color w:val="000000"/>
        </w:rPr>
        <w:t>erà</w:t>
      </w:r>
      <w:r w:rsidRPr="00CD25EF">
        <w:rPr>
          <w:rFonts w:ascii="Arial" w:hAnsi="Arial" w:cs="Arial"/>
          <w:b/>
          <w:bCs/>
          <w:color w:val="000000"/>
        </w:rPr>
        <w:t xml:space="preserve"> più gravoso l’utilizzo dello strumento deflattivo </w:t>
      </w:r>
      <w:r w:rsidRPr="00CD25EF">
        <w:rPr>
          <w:rFonts w:ascii="Arial" w:hAnsi="Arial" w:cs="Arial"/>
          <w:b/>
          <w:bCs/>
          <w:color w:val="000000"/>
        </w:rPr>
        <w:t xml:space="preserve"> e </w:t>
      </w:r>
      <w:r w:rsidRPr="00CD25EF">
        <w:rPr>
          <w:rFonts w:ascii="Arial" w:hAnsi="Arial" w:cs="Arial"/>
          <w:b/>
          <w:bCs/>
          <w:color w:val="000000"/>
        </w:rPr>
        <w:t xml:space="preserve">comporterà </w:t>
      </w:r>
      <w:r w:rsidRPr="00CD25EF">
        <w:rPr>
          <w:rFonts w:ascii="Arial" w:hAnsi="Arial" w:cs="Arial"/>
          <w:b/>
          <w:bCs/>
          <w:color w:val="000000"/>
        </w:rPr>
        <w:t xml:space="preserve">rilevanti </w:t>
      </w:r>
      <w:r w:rsidRPr="00CD25EF">
        <w:rPr>
          <w:rFonts w:ascii="Arial" w:hAnsi="Arial" w:cs="Arial"/>
          <w:b/>
          <w:bCs/>
          <w:color w:val="000000"/>
        </w:rPr>
        <w:t>effetti distorsivi</w:t>
      </w:r>
      <w:r w:rsidRPr="00CD25EF">
        <w:rPr>
          <w:rFonts w:ascii="Arial" w:hAnsi="Arial" w:cs="Arial"/>
          <w:b/>
          <w:bCs/>
          <w:color w:val="000000"/>
        </w:rPr>
        <w:t>”</w:t>
      </w:r>
    </w:p>
    <w:p w14:paraId="40E07198" w14:textId="77777777" w:rsidR="00CD25EF" w:rsidRDefault="00CD25EF" w:rsidP="00CD25EF">
      <w:pPr>
        <w:widowControl w:val="0"/>
        <w:tabs>
          <w:tab w:val="right" w:pos="9638"/>
        </w:tabs>
        <w:autoSpaceDE w:val="0"/>
        <w:autoSpaceDN w:val="0"/>
        <w:adjustRightInd w:val="0"/>
        <w:jc w:val="both"/>
        <w:rPr>
          <w:rFonts w:ascii="Arial" w:hAnsi="Arial" w:cs="Arial"/>
          <w:color w:val="000000"/>
        </w:rPr>
      </w:pPr>
    </w:p>
    <w:p w14:paraId="3224F74A" w14:textId="77777777" w:rsidR="00CD25EF" w:rsidRPr="00CD25EF" w:rsidRDefault="00CD25EF" w:rsidP="00CD25EF">
      <w:pPr>
        <w:widowControl w:val="0"/>
        <w:tabs>
          <w:tab w:val="right" w:pos="9638"/>
        </w:tabs>
        <w:autoSpaceDE w:val="0"/>
        <w:autoSpaceDN w:val="0"/>
        <w:adjustRightInd w:val="0"/>
        <w:jc w:val="both"/>
        <w:rPr>
          <w:rFonts w:ascii="Arial" w:hAnsi="Arial" w:cs="Arial"/>
          <w:i/>
          <w:iCs/>
          <w:color w:val="000000"/>
        </w:rPr>
      </w:pPr>
    </w:p>
    <w:p w14:paraId="0D7FAFA2" w14:textId="3F7C3EDA" w:rsidR="00CD25EF" w:rsidRPr="00D079A1" w:rsidRDefault="00CD25EF" w:rsidP="00CD25EF">
      <w:pPr>
        <w:widowControl w:val="0"/>
        <w:tabs>
          <w:tab w:val="right" w:pos="9638"/>
        </w:tabs>
        <w:autoSpaceDE w:val="0"/>
        <w:autoSpaceDN w:val="0"/>
        <w:adjustRightInd w:val="0"/>
        <w:jc w:val="both"/>
        <w:rPr>
          <w:rFonts w:ascii="Arial" w:hAnsi="Arial" w:cs="Arial"/>
          <w:b/>
          <w:color w:val="000000"/>
        </w:rPr>
      </w:pPr>
      <w:r w:rsidRPr="00CD25EF">
        <w:rPr>
          <w:rFonts w:ascii="Arial" w:hAnsi="Arial" w:cs="Arial"/>
          <w:i/>
          <w:iCs/>
          <w:color w:val="000000"/>
        </w:rPr>
        <w:t>19 dicembre 2022 –</w:t>
      </w:r>
      <w:r>
        <w:rPr>
          <w:rFonts w:ascii="Arial" w:hAnsi="Arial" w:cs="Arial"/>
          <w:color w:val="000000"/>
        </w:rPr>
        <w:t xml:space="preserve"> Un</w:t>
      </w:r>
      <w:r w:rsidRPr="00CD25EF">
        <w:rPr>
          <w:rFonts w:ascii="Arial" w:hAnsi="Arial" w:cs="Arial"/>
          <w:color w:val="000000"/>
        </w:rPr>
        <w:t xml:space="preserve"> </w:t>
      </w:r>
      <w:r w:rsidRPr="00CD25EF">
        <w:rPr>
          <w:rFonts w:ascii="Arial" w:hAnsi="Arial" w:cs="Arial"/>
          <w:bCs/>
          <w:color w:val="000000"/>
        </w:rPr>
        <w:t>intervento normativo che</w:t>
      </w:r>
      <w:r w:rsidRPr="00CD25EF">
        <w:rPr>
          <w:rFonts w:ascii="Arial" w:hAnsi="Arial" w:cs="Arial"/>
          <w:b/>
          <w:color w:val="000000"/>
        </w:rPr>
        <w:t xml:space="preserve"> riduca il tasso degli interessi moratori da corrispondere in caso di ravvedimento operoso</w:t>
      </w:r>
      <w:r w:rsidRPr="00CD25EF">
        <w:rPr>
          <w:rFonts w:ascii="Arial" w:hAnsi="Arial" w:cs="Arial"/>
          <w:color w:val="000000"/>
        </w:rPr>
        <w:t>, eliminando il collegamento “</w:t>
      </w:r>
      <w:r w:rsidRPr="00CD25EF">
        <w:rPr>
          <w:rFonts w:ascii="Arial" w:hAnsi="Arial" w:cs="Arial"/>
          <w:i/>
          <w:color w:val="000000"/>
        </w:rPr>
        <w:t>al tasso legale</w:t>
      </w:r>
      <w:r w:rsidRPr="00CD25EF">
        <w:rPr>
          <w:rFonts w:ascii="Arial" w:hAnsi="Arial" w:cs="Arial"/>
          <w:color w:val="000000"/>
        </w:rPr>
        <w:t>”</w:t>
      </w:r>
      <w:r w:rsidRPr="00CD25EF">
        <w:rPr>
          <w:rFonts w:ascii="Arial" w:hAnsi="Arial" w:cs="Arial"/>
          <w:i/>
          <w:color w:val="000000"/>
        </w:rPr>
        <w:t xml:space="preserve"> </w:t>
      </w:r>
      <w:r w:rsidRPr="00CD25EF">
        <w:rPr>
          <w:rFonts w:ascii="Arial" w:hAnsi="Arial" w:cs="Arial"/>
          <w:color w:val="000000"/>
        </w:rPr>
        <w:t>degli interessi</w:t>
      </w:r>
      <w:r>
        <w:rPr>
          <w:rFonts w:ascii="Arial" w:hAnsi="Arial" w:cs="Arial"/>
          <w:color w:val="000000"/>
        </w:rPr>
        <w:t xml:space="preserve">. È la richiesta formulata dal Consiglio nazionale dei commercialisti in una lettera inviata oggi al Ministro dell’Economia </w:t>
      </w:r>
      <w:r w:rsidRPr="00CD25EF">
        <w:rPr>
          <w:rFonts w:ascii="Arial" w:hAnsi="Arial" w:cs="Arial"/>
          <w:b/>
          <w:bCs/>
          <w:color w:val="000000"/>
        </w:rPr>
        <w:t>Giancarlo Giorgetti</w:t>
      </w:r>
      <w:r>
        <w:rPr>
          <w:rFonts w:ascii="Arial" w:hAnsi="Arial" w:cs="Arial"/>
          <w:color w:val="000000"/>
        </w:rPr>
        <w:t xml:space="preserve"> e al Viceministro </w:t>
      </w:r>
      <w:r w:rsidRPr="00CD25EF">
        <w:rPr>
          <w:rFonts w:ascii="Arial" w:hAnsi="Arial" w:cs="Arial"/>
          <w:b/>
          <w:bCs/>
          <w:color w:val="000000"/>
        </w:rPr>
        <w:t>Maurizio Leo</w:t>
      </w:r>
      <w:r>
        <w:rPr>
          <w:rFonts w:ascii="Arial" w:hAnsi="Arial" w:cs="Arial"/>
          <w:color w:val="000000"/>
        </w:rPr>
        <w:t xml:space="preserve">. </w:t>
      </w:r>
    </w:p>
    <w:p w14:paraId="2C4C0453" w14:textId="77777777" w:rsidR="00CD25EF" w:rsidRDefault="00CD25EF" w:rsidP="00CD25EF">
      <w:pPr>
        <w:widowControl w:val="0"/>
        <w:tabs>
          <w:tab w:val="right" w:pos="9638"/>
        </w:tabs>
        <w:autoSpaceDE w:val="0"/>
        <w:autoSpaceDN w:val="0"/>
        <w:adjustRightInd w:val="0"/>
        <w:jc w:val="both"/>
        <w:rPr>
          <w:rFonts w:ascii="Arial" w:hAnsi="Arial" w:cs="Arial"/>
          <w:color w:val="000000"/>
        </w:rPr>
      </w:pPr>
    </w:p>
    <w:p w14:paraId="60F9F77F" w14:textId="47E0CF7A" w:rsidR="00CD25EF" w:rsidRDefault="00CD25EF" w:rsidP="00CD25EF">
      <w:pPr>
        <w:widowControl w:val="0"/>
        <w:tabs>
          <w:tab w:val="right" w:pos="9638"/>
        </w:tabs>
        <w:autoSpaceDE w:val="0"/>
        <w:autoSpaceDN w:val="0"/>
        <w:adjustRightInd w:val="0"/>
        <w:jc w:val="both"/>
        <w:rPr>
          <w:rFonts w:ascii="Arial" w:hAnsi="Arial" w:cs="Arial"/>
          <w:color w:val="000000"/>
        </w:rPr>
      </w:pPr>
      <w:r>
        <w:rPr>
          <w:rFonts w:ascii="Arial" w:hAnsi="Arial" w:cs="Arial"/>
          <w:color w:val="000000"/>
        </w:rPr>
        <w:t xml:space="preserve">Come ricorda nella missiva il presidente </w:t>
      </w:r>
      <w:r w:rsidR="00005921">
        <w:rPr>
          <w:rFonts w:ascii="Arial" w:hAnsi="Arial" w:cs="Arial"/>
          <w:color w:val="000000"/>
        </w:rPr>
        <w:t>d</w:t>
      </w:r>
      <w:r>
        <w:rPr>
          <w:rFonts w:ascii="Arial" w:hAnsi="Arial" w:cs="Arial"/>
          <w:color w:val="000000"/>
        </w:rPr>
        <w:t xml:space="preserve">ella categoria </w:t>
      </w:r>
      <w:r w:rsidRPr="00CD25EF">
        <w:rPr>
          <w:rFonts w:ascii="Arial" w:hAnsi="Arial" w:cs="Arial"/>
          <w:b/>
          <w:bCs/>
          <w:color w:val="000000"/>
        </w:rPr>
        <w:t>Elbano de Nuccio</w:t>
      </w:r>
      <w:r>
        <w:rPr>
          <w:rFonts w:ascii="Arial" w:hAnsi="Arial" w:cs="Arial"/>
          <w:color w:val="000000"/>
        </w:rPr>
        <w:t>, “i</w:t>
      </w:r>
      <w:r w:rsidRPr="00CD25EF">
        <w:rPr>
          <w:rFonts w:ascii="Arial" w:hAnsi="Arial" w:cs="Arial"/>
          <w:color w:val="000000"/>
        </w:rPr>
        <w:t xml:space="preserve">l ravvedimento operoso è un importante e diffuso strumento di </w:t>
      </w:r>
      <w:r w:rsidRPr="00CD25EF">
        <w:rPr>
          <w:rFonts w:ascii="Arial" w:hAnsi="Arial" w:cs="Arial"/>
          <w:i/>
          <w:color w:val="000000"/>
        </w:rPr>
        <w:t>compliance</w:t>
      </w:r>
      <w:r w:rsidRPr="00CD25EF">
        <w:rPr>
          <w:rFonts w:ascii="Arial" w:hAnsi="Arial" w:cs="Arial"/>
          <w:color w:val="000000"/>
        </w:rPr>
        <w:t xml:space="preserve"> che permette ai contribuenti di regolarizzare spontaneamente le </w:t>
      </w:r>
      <w:r w:rsidRPr="00371902">
        <w:rPr>
          <w:rFonts w:ascii="Arial" w:hAnsi="Arial" w:cs="Arial"/>
          <w:b/>
          <w:bCs/>
          <w:color w:val="000000"/>
        </w:rPr>
        <w:t>violazioni tributarie</w:t>
      </w:r>
      <w:r w:rsidRPr="00CD25EF">
        <w:rPr>
          <w:rFonts w:ascii="Arial" w:hAnsi="Arial" w:cs="Arial"/>
          <w:color w:val="000000"/>
        </w:rPr>
        <w:t xml:space="preserve"> commesse (tipicamente il ritardo nel pagamento) beneficiando di una riduzione delle sanzioni tanto maggiore quanto più celere e tempestiva è la regolarizzazione stessa.</w:t>
      </w:r>
      <w:r>
        <w:rPr>
          <w:rFonts w:ascii="Arial" w:hAnsi="Arial" w:cs="Arial"/>
          <w:color w:val="000000"/>
        </w:rPr>
        <w:t xml:space="preserve"> </w:t>
      </w:r>
      <w:r w:rsidRPr="00CD25EF">
        <w:rPr>
          <w:rFonts w:ascii="Arial" w:hAnsi="Arial" w:cs="Arial"/>
          <w:color w:val="000000"/>
        </w:rPr>
        <w:t>Ai sensi del comma 2 dell’articolo 13 del decreto legislativo 18 dicembre 1997, n. 472, “</w:t>
      </w:r>
      <w:r w:rsidRPr="00CD25EF">
        <w:rPr>
          <w:rFonts w:ascii="Arial" w:hAnsi="Arial" w:cs="Arial"/>
          <w:i/>
          <w:color w:val="000000"/>
        </w:rPr>
        <w:t xml:space="preserve">Il pagamento della sanzione ridotta deve essere eseguito contestualmente alla regolarizzazione del pagamento del tributo o della differenza, quando dovuti, nonché al pagamento degli </w:t>
      </w:r>
      <w:r w:rsidRPr="00371902">
        <w:rPr>
          <w:rFonts w:ascii="Arial" w:hAnsi="Arial" w:cs="Arial"/>
          <w:i/>
          <w:color w:val="000000"/>
        </w:rPr>
        <w:t>interessi moratori calcolati al tasso legale</w:t>
      </w:r>
      <w:r w:rsidRPr="00CD25EF">
        <w:rPr>
          <w:rFonts w:ascii="Arial" w:hAnsi="Arial" w:cs="Arial"/>
          <w:i/>
          <w:color w:val="000000"/>
        </w:rPr>
        <w:t xml:space="preserve"> con maturazione giorno per giorno</w:t>
      </w:r>
      <w:r w:rsidRPr="00CD25EF">
        <w:rPr>
          <w:rFonts w:ascii="Arial" w:hAnsi="Arial" w:cs="Arial"/>
          <w:color w:val="000000"/>
        </w:rPr>
        <w:t>”.</w:t>
      </w:r>
      <w:r>
        <w:rPr>
          <w:rFonts w:ascii="Arial" w:hAnsi="Arial" w:cs="Arial"/>
          <w:color w:val="000000"/>
        </w:rPr>
        <w:t xml:space="preserve"> </w:t>
      </w:r>
      <w:r w:rsidRPr="00CD25EF">
        <w:rPr>
          <w:rFonts w:ascii="Arial" w:hAnsi="Arial" w:cs="Arial"/>
          <w:color w:val="000000"/>
        </w:rPr>
        <w:t xml:space="preserve">Dal 1° gennaio 2022, il saggio degli interessi legali è pari </w:t>
      </w:r>
      <w:r w:rsidRPr="00371902">
        <w:rPr>
          <w:rFonts w:ascii="Arial" w:hAnsi="Arial" w:cs="Arial"/>
          <w:b/>
          <w:bCs/>
          <w:color w:val="000000"/>
        </w:rPr>
        <w:t>all’1,25 per cento su base annua</w:t>
      </w:r>
      <w:r w:rsidRPr="00CD25EF">
        <w:rPr>
          <w:rFonts w:ascii="Arial" w:hAnsi="Arial" w:cs="Arial"/>
          <w:color w:val="000000"/>
        </w:rPr>
        <w:t>, per effetto del decreto del ministero dell'economia e delle finanze 13 dicembre 2021, pubblicato nella Gazzetta Ufficiale, Serie Generale, n. 297 del 15 dicembre 2021.</w:t>
      </w:r>
      <w:r>
        <w:rPr>
          <w:rFonts w:ascii="Arial" w:hAnsi="Arial" w:cs="Arial"/>
          <w:color w:val="000000"/>
        </w:rPr>
        <w:t xml:space="preserve"> </w:t>
      </w:r>
      <w:r w:rsidRPr="00CD25EF">
        <w:rPr>
          <w:rFonts w:ascii="Arial" w:hAnsi="Arial" w:cs="Arial"/>
          <w:color w:val="000000"/>
        </w:rPr>
        <w:t xml:space="preserve">Con il recente e analogo decreto ministeriale del 13 dicembre 2022, pubblicato nella Gazzetta Ufficiale, la misura del saggio degli interessi legali di cui all’articolo 1284 del </w:t>
      </w:r>
      <w:proofErr w:type="gramStart"/>
      <w:r w:rsidRPr="00CD25EF">
        <w:rPr>
          <w:rFonts w:ascii="Arial" w:hAnsi="Arial" w:cs="Arial"/>
          <w:color w:val="000000"/>
        </w:rPr>
        <w:t>codice civile</w:t>
      </w:r>
      <w:proofErr w:type="gramEnd"/>
      <w:r w:rsidRPr="00CD25EF">
        <w:rPr>
          <w:rFonts w:ascii="Arial" w:hAnsi="Arial" w:cs="Arial"/>
          <w:color w:val="000000"/>
        </w:rPr>
        <w:t xml:space="preserve"> è stata fissata al </w:t>
      </w:r>
      <w:r w:rsidRPr="00371902">
        <w:rPr>
          <w:rFonts w:ascii="Arial" w:hAnsi="Arial" w:cs="Arial"/>
          <w:b/>
          <w:bCs/>
          <w:color w:val="000000"/>
        </w:rPr>
        <w:t>5 per cento in ragione d’anno</w:t>
      </w:r>
      <w:r w:rsidRPr="00CD25EF">
        <w:rPr>
          <w:rFonts w:ascii="Arial" w:hAnsi="Arial" w:cs="Arial"/>
          <w:color w:val="000000"/>
        </w:rPr>
        <w:t>, con decorrenza dal 1° gennaio 2023.</w:t>
      </w:r>
    </w:p>
    <w:p w14:paraId="7DF10FB0" w14:textId="77777777" w:rsidR="00CD25EF" w:rsidRPr="00CD25EF" w:rsidRDefault="00CD25EF" w:rsidP="00CD25EF">
      <w:pPr>
        <w:widowControl w:val="0"/>
        <w:tabs>
          <w:tab w:val="right" w:pos="9638"/>
        </w:tabs>
        <w:autoSpaceDE w:val="0"/>
        <w:autoSpaceDN w:val="0"/>
        <w:adjustRightInd w:val="0"/>
        <w:jc w:val="both"/>
        <w:rPr>
          <w:rFonts w:ascii="Arial" w:hAnsi="Arial" w:cs="Arial"/>
          <w:color w:val="000000"/>
        </w:rPr>
      </w:pPr>
    </w:p>
    <w:p w14:paraId="1C2FFEE2" w14:textId="43031915" w:rsidR="00CD25EF" w:rsidRPr="00CD25EF" w:rsidRDefault="00CD25EF" w:rsidP="00CD25EF">
      <w:pPr>
        <w:widowControl w:val="0"/>
        <w:tabs>
          <w:tab w:val="right" w:pos="9638"/>
        </w:tabs>
        <w:autoSpaceDE w:val="0"/>
        <w:autoSpaceDN w:val="0"/>
        <w:adjustRightInd w:val="0"/>
        <w:jc w:val="both"/>
        <w:rPr>
          <w:rFonts w:ascii="Arial" w:hAnsi="Arial" w:cs="Arial"/>
          <w:color w:val="000000"/>
        </w:rPr>
      </w:pPr>
      <w:r>
        <w:rPr>
          <w:rFonts w:ascii="Arial" w:hAnsi="Arial" w:cs="Arial"/>
          <w:color w:val="000000"/>
        </w:rPr>
        <w:t>“</w:t>
      </w:r>
      <w:r w:rsidR="00D079A1">
        <w:rPr>
          <w:rFonts w:ascii="Arial" w:hAnsi="Arial" w:cs="Arial"/>
          <w:color w:val="000000"/>
        </w:rPr>
        <w:t>L’</w:t>
      </w:r>
      <w:r w:rsidRPr="00371902">
        <w:rPr>
          <w:rFonts w:ascii="Arial" w:hAnsi="Arial" w:cs="Arial"/>
          <w:b/>
          <w:bCs/>
          <w:color w:val="000000"/>
        </w:rPr>
        <w:t>incremento</w:t>
      </w:r>
      <w:r w:rsidRPr="00CD25EF">
        <w:rPr>
          <w:rFonts w:ascii="Arial" w:hAnsi="Arial" w:cs="Arial"/>
          <w:color w:val="000000"/>
        </w:rPr>
        <w:t xml:space="preserve"> del saggio degli interessi legali nel prossimo anno</w:t>
      </w:r>
      <w:r>
        <w:rPr>
          <w:rFonts w:ascii="Arial" w:hAnsi="Arial" w:cs="Arial"/>
          <w:color w:val="000000"/>
        </w:rPr>
        <w:t xml:space="preserve"> – afferma de Nuccio - </w:t>
      </w:r>
      <w:r w:rsidRPr="00CD25EF">
        <w:rPr>
          <w:rFonts w:ascii="Arial" w:hAnsi="Arial" w:cs="Arial"/>
          <w:color w:val="000000"/>
        </w:rPr>
        <w:t xml:space="preserve"> oltre a rendere </w:t>
      </w:r>
      <w:r w:rsidRPr="00371902">
        <w:rPr>
          <w:rFonts w:ascii="Arial" w:hAnsi="Arial" w:cs="Arial"/>
          <w:b/>
          <w:bCs/>
          <w:color w:val="000000"/>
        </w:rPr>
        <w:t>più gravoso</w:t>
      </w:r>
      <w:r w:rsidRPr="00CD25EF">
        <w:rPr>
          <w:rFonts w:ascii="Arial" w:hAnsi="Arial" w:cs="Arial"/>
          <w:color w:val="000000"/>
        </w:rPr>
        <w:t xml:space="preserve"> l’utilizzo dello strumento deflattivo in oggetto con </w:t>
      </w:r>
      <w:r w:rsidRPr="00371902">
        <w:rPr>
          <w:rFonts w:ascii="Arial" w:hAnsi="Arial" w:cs="Arial"/>
          <w:b/>
          <w:bCs/>
          <w:color w:val="000000"/>
        </w:rPr>
        <w:t>ripercussioni negative</w:t>
      </w:r>
      <w:r w:rsidRPr="00CD25EF">
        <w:rPr>
          <w:rFonts w:ascii="Arial" w:hAnsi="Arial" w:cs="Arial"/>
          <w:color w:val="000000"/>
        </w:rPr>
        <w:t xml:space="preserve"> sulla </w:t>
      </w:r>
      <w:r w:rsidRPr="00CD25EF">
        <w:rPr>
          <w:rFonts w:ascii="Arial" w:hAnsi="Arial" w:cs="Arial"/>
          <w:i/>
          <w:color w:val="000000"/>
        </w:rPr>
        <w:t>compliance</w:t>
      </w:r>
      <w:r w:rsidRPr="00CD25EF">
        <w:rPr>
          <w:rFonts w:ascii="Arial" w:hAnsi="Arial" w:cs="Arial"/>
          <w:color w:val="000000"/>
        </w:rPr>
        <w:t xml:space="preserve"> dei contribuenti, comporterà anche </w:t>
      </w:r>
      <w:r w:rsidRPr="00371902">
        <w:rPr>
          <w:rFonts w:ascii="Arial" w:hAnsi="Arial" w:cs="Arial"/>
          <w:b/>
          <w:bCs/>
          <w:color w:val="000000"/>
        </w:rPr>
        <w:t>effetti distorsivi</w:t>
      </w:r>
      <w:r w:rsidRPr="00CD25EF">
        <w:rPr>
          <w:rFonts w:ascii="Arial" w:hAnsi="Arial" w:cs="Arial"/>
          <w:color w:val="000000"/>
        </w:rPr>
        <w:t xml:space="preserve"> di particolare rilevanza.</w:t>
      </w:r>
      <w:r>
        <w:rPr>
          <w:rFonts w:ascii="Arial" w:hAnsi="Arial" w:cs="Arial"/>
          <w:color w:val="000000"/>
        </w:rPr>
        <w:t xml:space="preserve"> </w:t>
      </w:r>
      <w:r w:rsidRPr="00CD25EF">
        <w:rPr>
          <w:rFonts w:ascii="Arial" w:hAnsi="Arial" w:cs="Arial"/>
          <w:color w:val="000000"/>
        </w:rPr>
        <w:t>In caso, ad esempio, di versamento tardivo delle imposte entro un anno dalla scadenza originaria, è prevista la possibilità di regolarizzare la violazione, pagando, oltre alle imposte, una sanzione ridotta ad un ottavo del minimo, pari pertanto al 3,75 per cento (la sanzione ordinaria per omesso versamento è infatti pari al 30 per cento).</w:t>
      </w:r>
      <w:r>
        <w:rPr>
          <w:rFonts w:ascii="Arial" w:hAnsi="Arial" w:cs="Arial"/>
          <w:color w:val="000000"/>
        </w:rPr>
        <w:t xml:space="preserve"> </w:t>
      </w:r>
      <w:r w:rsidRPr="00CD25EF">
        <w:rPr>
          <w:rFonts w:ascii="Arial" w:hAnsi="Arial" w:cs="Arial"/>
          <w:color w:val="000000"/>
        </w:rPr>
        <w:t>Alla sanzione così ridotta, vanno poi aggiunti, ai sensi del comma 2 del citato articolo 13, gli “</w:t>
      </w:r>
      <w:r w:rsidRPr="00CD25EF">
        <w:rPr>
          <w:rFonts w:ascii="Arial" w:hAnsi="Arial" w:cs="Arial"/>
          <w:i/>
          <w:color w:val="000000"/>
        </w:rPr>
        <w:t>interessi moratori calcolati al tasso legale con maturazione giorno per giorno</w:t>
      </w:r>
      <w:r w:rsidRPr="00CD25EF">
        <w:rPr>
          <w:rFonts w:ascii="Arial" w:hAnsi="Arial" w:cs="Arial"/>
          <w:color w:val="000000"/>
        </w:rPr>
        <w:t>” che, nel 2023, saranno dovuti in misura pari al 5 per cento e, quindi, per un importo superiore, nel caso esemplificato, alle sanzioni contestualmente dovute per la regolarizzazione.</w:t>
      </w:r>
      <w:r>
        <w:rPr>
          <w:rFonts w:ascii="Arial" w:hAnsi="Arial" w:cs="Arial"/>
          <w:color w:val="000000"/>
        </w:rPr>
        <w:t xml:space="preserve"> </w:t>
      </w:r>
      <w:r w:rsidRPr="00CD25EF">
        <w:rPr>
          <w:rFonts w:ascii="Arial" w:hAnsi="Arial" w:cs="Arial"/>
          <w:color w:val="000000"/>
        </w:rPr>
        <w:t>Il che si traduce, evidentemente, in un paradosso che occorrerebbe evitare, anche per non scoraggiare l’utilizzo dell’istituto da parte dei contribuenti</w:t>
      </w:r>
      <w:r>
        <w:rPr>
          <w:rFonts w:ascii="Arial" w:hAnsi="Arial" w:cs="Arial"/>
          <w:color w:val="000000"/>
        </w:rPr>
        <w:t>”</w:t>
      </w:r>
      <w:r w:rsidRPr="00CD25EF">
        <w:rPr>
          <w:rFonts w:ascii="Arial" w:hAnsi="Arial" w:cs="Arial"/>
          <w:color w:val="000000"/>
        </w:rPr>
        <w:t>.</w:t>
      </w:r>
    </w:p>
    <w:p w14:paraId="7DD8582A" w14:textId="77777777" w:rsidR="00CD25EF" w:rsidRDefault="00CD25EF" w:rsidP="00CD25EF">
      <w:pPr>
        <w:widowControl w:val="0"/>
        <w:tabs>
          <w:tab w:val="right" w:pos="9638"/>
        </w:tabs>
        <w:autoSpaceDE w:val="0"/>
        <w:autoSpaceDN w:val="0"/>
        <w:adjustRightInd w:val="0"/>
        <w:jc w:val="both"/>
        <w:rPr>
          <w:rFonts w:ascii="Arial" w:hAnsi="Arial" w:cs="Arial"/>
          <w:color w:val="000000"/>
        </w:rPr>
      </w:pPr>
    </w:p>
    <w:p w14:paraId="7851DDDE" w14:textId="0DA7D7EA" w:rsidR="00CD25EF" w:rsidRDefault="00CD25EF" w:rsidP="00CD25EF">
      <w:pPr>
        <w:widowControl w:val="0"/>
        <w:tabs>
          <w:tab w:val="right" w:pos="9638"/>
        </w:tabs>
        <w:autoSpaceDE w:val="0"/>
        <w:autoSpaceDN w:val="0"/>
        <w:adjustRightInd w:val="0"/>
        <w:jc w:val="both"/>
        <w:rPr>
          <w:rFonts w:ascii="Arial" w:hAnsi="Arial" w:cs="Arial"/>
          <w:color w:val="000000"/>
        </w:rPr>
      </w:pPr>
      <w:r>
        <w:rPr>
          <w:rFonts w:ascii="Arial" w:hAnsi="Arial" w:cs="Arial"/>
          <w:color w:val="000000"/>
        </w:rPr>
        <w:t>Nella lettera, i commercialisti aggiungono che</w:t>
      </w:r>
      <w:r w:rsidRPr="00CD25EF">
        <w:rPr>
          <w:rFonts w:ascii="Arial" w:hAnsi="Arial" w:cs="Arial"/>
          <w:color w:val="000000"/>
        </w:rPr>
        <w:t xml:space="preserve"> </w:t>
      </w:r>
      <w:r>
        <w:rPr>
          <w:rFonts w:ascii="Arial" w:hAnsi="Arial" w:cs="Arial"/>
          <w:color w:val="000000"/>
        </w:rPr>
        <w:t>“</w:t>
      </w:r>
      <w:r w:rsidRPr="00CD25EF">
        <w:rPr>
          <w:rFonts w:ascii="Arial" w:hAnsi="Arial" w:cs="Arial"/>
          <w:color w:val="000000"/>
        </w:rPr>
        <w:t xml:space="preserve">la </w:t>
      </w:r>
      <w:r w:rsidRPr="00371902">
        <w:rPr>
          <w:rFonts w:ascii="Arial" w:hAnsi="Arial" w:cs="Arial"/>
          <w:b/>
          <w:bCs/>
          <w:color w:val="000000"/>
        </w:rPr>
        <w:t>definizione agevolata dei carichi</w:t>
      </w:r>
      <w:r w:rsidRPr="00CD25EF">
        <w:rPr>
          <w:rFonts w:ascii="Arial" w:hAnsi="Arial" w:cs="Arial"/>
          <w:color w:val="000000"/>
        </w:rPr>
        <w:t xml:space="preserve"> affidati all’agente della riscossione dal 1° gennaio 2000 al 30 giugno 2022, in via di approvazione con l’articolo 47 della </w:t>
      </w:r>
      <w:r w:rsidRPr="00371902">
        <w:rPr>
          <w:rFonts w:ascii="Arial" w:hAnsi="Arial" w:cs="Arial"/>
          <w:b/>
          <w:bCs/>
          <w:color w:val="000000"/>
        </w:rPr>
        <w:t>legge di bilancio per l’anno 2023</w:t>
      </w:r>
      <w:r w:rsidRPr="00CD25EF">
        <w:rPr>
          <w:rFonts w:ascii="Arial" w:hAnsi="Arial" w:cs="Arial"/>
          <w:color w:val="000000"/>
        </w:rPr>
        <w:t xml:space="preserve">, prevede la possibilità di estinguere i debiti </w:t>
      </w:r>
      <w:r w:rsidRPr="00371902">
        <w:rPr>
          <w:rFonts w:ascii="Arial" w:hAnsi="Arial" w:cs="Arial"/>
          <w:b/>
          <w:bCs/>
          <w:color w:val="000000"/>
        </w:rPr>
        <w:t>senza alcun pagamento di sanzioni e interessi</w:t>
      </w:r>
      <w:r w:rsidRPr="00CD25EF">
        <w:rPr>
          <w:rFonts w:ascii="Arial" w:hAnsi="Arial" w:cs="Arial"/>
          <w:color w:val="000000"/>
        </w:rPr>
        <w:t>: ciò determina l’ulteriore iniquità che coloro che spontaneamente rimuovono le violazioni tributarie con il ravvedimento operoso (evitando quindi l’avvio dell’attività di riscossione) subirebbero un onere sensibilmente superiore rispetto a coloro che, viceversa, si trovano in situazioni di ritardo nei pagamenti decisamente più marcate, che hanno comportato l’iscrizione a ruolo del debito tributario</w:t>
      </w:r>
      <w:r>
        <w:rPr>
          <w:rFonts w:ascii="Arial" w:hAnsi="Arial" w:cs="Arial"/>
          <w:color w:val="000000"/>
        </w:rPr>
        <w:t>”</w:t>
      </w:r>
      <w:r w:rsidRPr="00CD25EF">
        <w:rPr>
          <w:rFonts w:ascii="Arial" w:hAnsi="Arial" w:cs="Arial"/>
          <w:color w:val="000000"/>
        </w:rPr>
        <w:t>.</w:t>
      </w:r>
    </w:p>
    <w:p w14:paraId="7B12D225" w14:textId="77777777" w:rsidR="00371902" w:rsidRPr="00CD25EF" w:rsidRDefault="00371902" w:rsidP="00CD25EF">
      <w:pPr>
        <w:widowControl w:val="0"/>
        <w:tabs>
          <w:tab w:val="right" w:pos="9638"/>
        </w:tabs>
        <w:autoSpaceDE w:val="0"/>
        <w:autoSpaceDN w:val="0"/>
        <w:adjustRightInd w:val="0"/>
        <w:jc w:val="both"/>
        <w:rPr>
          <w:rFonts w:ascii="Arial" w:hAnsi="Arial" w:cs="Arial"/>
          <w:color w:val="000000"/>
        </w:rPr>
      </w:pPr>
    </w:p>
    <w:p w14:paraId="77B98F92" w14:textId="42E4CF8B" w:rsidR="00CD25EF" w:rsidRPr="00CD25EF" w:rsidRDefault="00CD25EF" w:rsidP="00CD25EF">
      <w:pPr>
        <w:widowControl w:val="0"/>
        <w:tabs>
          <w:tab w:val="right" w:pos="9638"/>
        </w:tabs>
        <w:autoSpaceDE w:val="0"/>
        <w:autoSpaceDN w:val="0"/>
        <w:adjustRightInd w:val="0"/>
        <w:jc w:val="both"/>
        <w:rPr>
          <w:rFonts w:ascii="Arial" w:hAnsi="Arial" w:cs="Arial"/>
          <w:color w:val="000000"/>
        </w:rPr>
      </w:pPr>
      <w:r w:rsidRPr="00CD25EF">
        <w:rPr>
          <w:rFonts w:ascii="Arial" w:hAnsi="Arial" w:cs="Arial"/>
          <w:color w:val="000000"/>
        </w:rPr>
        <w:t>Infine,</w:t>
      </w:r>
      <w:r>
        <w:rPr>
          <w:rFonts w:ascii="Arial" w:hAnsi="Arial" w:cs="Arial"/>
          <w:color w:val="000000"/>
        </w:rPr>
        <w:t xml:space="preserve"> l</w:t>
      </w:r>
      <w:r w:rsidR="00D079A1">
        <w:rPr>
          <w:rFonts w:ascii="Arial" w:hAnsi="Arial" w:cs="Arial"/>
          <w:color w:val="000000"/>
        </w:rPr>
        <w:t>a</w:t>
      </w:r>
      <w:r>
        <w:rPr>
          <w:rFonts w:ascii="Arial" w:hAnsi="Arial" w:cs="Arial"/>
          <w:color w:val="000000"/>
        </w:rPr>
        <w:t xml:space="preserve"> categoria </w:t>
      </w:r>
      <w:r w:rsidRPr="00CD25EF">
        <w:rPr>
          <w:rFonts w:ascii="Arial" w:hAnsi="Arial" w:cs="Arial"/>
          <w:color w:val="000000"/>
        </w:rPr>
        <w:t xml:space="preserve">evidenzia che </w:t>
      </w:r>
      <w:r>
        <w:rPr>
          <w:rFonts w:ascii="Arial" w:hAnsi="Arial" w:cs="Arial"/>
          <w:color w:val="000000"/>
        </w:rPr>
        <w:t>“</w:t>
      </w:r>
      <w:r w:rsidRPr="00CD25EF">
        <w:rPr>
          <w:rFonts w:ascii="Arial" w:hAnsi="Arial" w:cs="Arial"/>
          <w:color w:val="000000"/>
        </w:rPr>
        <w:t xml:space="preserve">la misura del tasso legale è legata anche alle </w:t>
      </w:r>
      <w:r w:rsidRPr="00371902">
        <w:rPr>
          <w:rFonts w:ascii="Arial" w:hAnsi="Arial" w:cs="Arial"/>
          <w:b/>
          <w:bCs/>
          <w:color w:val="000000"/>
        </w:rPr>
        <w:t>dinamiche inflazionistiche</w:t>
      </w:r>
      <w:r w:rsidRPr="00CD25EF">
        <w:rPr>
          <w:rFonts w:ascii="Arial" w:hAnsi="Arial" w:cs="Arial"/>
          <w:color w:val="000000"/>
        </w:rPr>
        <w:t xml:space="preserve"> che, come noto, in questa fase economica sono strettamente connesse all’aumento dei prezzi delle materie prime (in particolare energetiche) che stanno già mettendo in grave difficoltà imprese e famiglie: l’incidenza degli interessi per perfezionare il ravvedimento operoso appare, quindi, come un’ulteriore </w:t>
      </w:r>
      <w:r w:rsidRPr="00D079A1">
        <w:rPr>
          <w:rFonts w:ascii="Arial" w:hAnsi="Arial" w:cs="Arial"/>
          <w:b/>
          <w:bCs/>
          <w:color w:val="000000"/>
        </w:rPr>
        <w:t>gravosa conseguenza</w:t>
      </w:r>
      <w:r w:rsidRPr="00CD25EF">
        <w:rPr>
          <w:rFonts w:ascii="Arial" w:hAnsi="Arial" w:cs="Arial"/>
          <w:color w:val="000000"/>
        </w:rPr>
        <w:t xml:space="preserve"> che amplifica gli effetti negativi del contesto economico generale</w:t>
      </w:r>
      <w:r>
        <w:rPr>
          <w:rFonts w:ascii="Arial" w:hAnsi="Arial" w:cs="Arial"/>
          <w:color w:val="000000"/>
        </w:rPr>
        <w:t>”</w:t>
      </w:r>
      <w:r w:rsidRPr="00CD25EF">
        <w:rPr>
          <w:rFonts w:ascii="Arial" w:hAnsi="Arial" w:cs="Arial"/>
          <w:color w:val="000000"/>
        </w:rPr>
        <w:t xml:space="preserve">. </w:t>
      </w:r>
    </w:p>
    <w:p w14:paraId="3D96037D" w14:textId="77777777" w:rsidR="00321FE4" w:rsidRPr="00321FE4" w:rsidRDefault="00321FE4" w:rsidP="00CD25EF">
      <w:pPr>
        <w:jc w:val="center"/>
        <w:rPr>
          <w:rFonts w:ascii="Arial" w:hAnsi="Arial" w:cs="Arial"/>
          <w:b/>
          <w:bCs/>
          <w:sz w:val="24"/>
          <w:szCs w:val="24"/>
        </w:rPr>
      </w:pPr>
    </w:p>
    <w:sectPr w:rsidR="00321FE4" w:rsidRPr="00321FE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84CF" w14:textId="77777777" w:rsidR="00C907B7" w:rsidRDefault="00C907B7" w:rsidP="0078332C">
      <w:r>
        <w:separator/>
      </w:r>
    </w:p>
  </w:endnote>
  <w:endnote w:type="continuationSeparator" w:id="0">
    <w:p w14:paraId="018D695D" w14:textId="77777777" w:rsidR="00C907B7" w:rsidRDefault="00C907B7"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C443" w14:textId="77777777" w:rsidR="00C907B7" w:rsidRDefault="00C907B7" w:rsidP="0078332C">
      <w:r>
        <w:separator/>
      </w:r>
    </w:p>
  </w:footnote>
  <w:footnote w:type="continuationSeparator" w:id="0">
    <w:p w14:paraId="49B4C135" w14:textId="77777777" w:rsidR="00C907B7" w:rsidRDefault="00C907B7"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413546150">
    <w:abstractNumId w:val="9"/>
  </w:num>
  <w:num w:numId="2" w16cid:durableId="373776964">
    <w:abstractNumId w:val="5"/>
  </w:num>
  <w:num w:numId="3" w16cid:durableId="1491361132">
    <w:abstractNumId w:val="11"/>
  </w:num>
  <w:num w:numId="4" w16cid:durableId="1278295853">
    <w:abstractNumId w:val="6"/>
  </w:num>
  <w:num w:numId="5" w16cid:durableId="1156725911">
    <w:abstractNumId w:val="15"/>
  </w:num>
  <w:num w:numId="6" w16cid:durableId="1620331134">
    <w:abstractNumId w:val="4"/>
  </w:num>
  <w:num w:numId="7" w16cid:durableId="1517696134">
    <w:abstractNumId w:val="0"/>
  </w:num>
  <w:num w:numId="8" w16cid:durableId="761100777">
    <w:abstractNumId w:val="13"/>
  </w:num>
  <w:num w:numId="9" w16cid:durableId="1850871321">
    <w:abstractNumId w:val="7"/>
  </w:num>
  <w:num w:numId="10" w16cid:durableId="386759975">
    <w:abstractNumId w:val="7"/>
  </w:num>
  <w:num w:numId="11" w16cid:durableId="419645830">
    <w:abstractNumId w:val="8"/>
  </w:num>
  <w:num w:numId="12" w16cid:durableId="831071118">
    <w:abstractNumId w:val="2"/>
  </w:num>
  <w:num w:numId="13" w16cid:durableId="981351121">
    <w:abstractNumId w:val="14"/>
  </w:num>
  <w:num w:numId="14" w16cid:durableId="1535188601">
    <w:abstractNumId w:val="3"/>
  </w:num>
  <w:num w:numId="15" w16cid:durableId="704866041">
    <w:abstractNumId w:val="8"/>
    <w:lvlOverride w:ilvl="0">
      <w:startOverride w:val="1"/>
    </w:lvlOverride>
  </w:num>
  <w:num w:numId="16" w16cid:durableId="1883324812">
    <w:abstractNumId w:val="3"/>
    <w:lvlOverride w:ilvl="0">
      <w:startOverride w:val="1"/>
    </w:lvlOverride>
  </w:num>
  <w:num w:numId="17" w16cid:durableId="1279875928">
    <w:abstractNumId w:val="1"/>
  </w:num>
  <w:num w:numId="18" w16cid:durableId="646015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37565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945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09102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1522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877132">
    <w:abstractNumId w:val="8"/>
    <w:lvlOverride w:ilvl="0">
      <w:startOverride w:val="1"/>
    </w:lvlOverride>
    <w:lvlOverride w:ilvl="1"/>
    <w:lvlOverride w:ilvl="2"/>
    <w:lvlOverride w:ilvl="3"/>
    <w:lvlOverride w:ilvl="4"/>
    <w:lvlOverride w:ilvl="5"/>
    <w:lvlOverride w:ilvl="6"/>
    <w:lvlOverride w:ilvl="7"/>
    <w:lvlOverride w:ilvl="8"/>
  </w:num>
  <w:num w:numId="24" w16cid:durableId="1313678651">
    <w:abstractNumId w:val="12"/>
  </w:num>
  <w:num w:numId="25" w16cid:durableId="381708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05921"/>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B67D7"/>
    <w:rsid w:val="001C67E1"/>
    <w:rsid w:val="001C6BDD"/>
    <w:rsid w:val="001C7913"/>
    <w:rsid w:val="001C7A99"/>
    <w:rsid w:val="001C7E5F"/>
    <w:rsid w:val="001D456F"/>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560A6"/>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4F6B"/>
    <w:rsid w:val="0030574C"/>
    <w:rsid w:val="00312A48"/>
    <w:rsid w:val="00313354"/>
    <w:rsid w:val="00313737"/>
    <w:rsid w:val="0031710A"/>
    <w:rsid w:val="00320A8F"/>
    <w:rsid w:val="003219BE"/>
    <w:rsid w:val="00321FE4"/>
    <w:rsid w:val="0033034A"/>
    <w:rsid w:val="0033082E"/>
    <w:rsid w:val="00332874"/>
    <w:rsid w:val="00333505"/>
    <w:rsid w:val="00333957"/>
    <w:rsid w:val="003479A2"/>
    <w:rsid w:val="00353EE3"/>
    <w:rsid w:val="0036445C"/>
    <w:rsid w:val="00365C91"/>
    <w:rsid w:val="00366188"/>
    <w:rsid w:val="00371902"/>
    <w:rsid w:val="003808D1"/>
    <w:rsid w:val="00383902"/>
    <w:rsid w:val="00384C9E"/>
    <w:rsid w:val="00392245"/>
    <w:rsid w:val="00397281"/>
    <w:rsid w:val="003A03BB"/>
    <w:rsid w:val="003A0939"/>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43042"/>
    <w:rsid w:val="0046629D"/>
    <w:rsid w:val="0047270A"/>
    <w:rsid w:val="00472F6D"/>
    <w:rsid w:val="00476C15"/>
    <w:rsid w:val="00485F00"/>
    <w:rsid w:val="004875FA"/>
    <w:rsid w:val="00493DC9"/>
    <w:rsid w:val="00494B2B"/>
    <w:rsid w:val="00496213"/>
    <w:rsid w:val="004964DA"/>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5A5"/>
    <w:rsid w:val="005D3873"/>
    <w:rsid w:val="005D455A"/>
    <w:rsid w:val="005D6006"/>
    <w:rsid w:val="005D610E"/>
    <w:rsid w:val="005E42F5"/>
    <w:rsid w:val="005E4D40"/>
    <w:rsid w:val="005F2F00"/>
    <w:rsid w:val="005F5B57"/>
    <w:rsid w:val="005F684F"/>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1FBF"/>
    <w:rsid w:val="006A0B5D"/>
    <w:rsid w:val="006A0D3B"/>
    <w:rsid w:val="006A4451"/>
    <w:rsid w:val="006B322C"/>
    <w:rsid w:val="006C3945"/>
    <w:rsid w:val="006C6818"/>
    <w:rsid w:val="006C6D0E"/>
    <w:rsid w:val="006C7063"/>
    <w:rsid w:val="006E43CD"/>
    <w:rsid w:val="006F4DC7"/>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C0C2D"/>
    <w:rsid w:val="007C14B1"/>
    <w:rsid w:val="007C3A93"/>
    <w:rsid w:val="007C5CCD"/>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B3951"/>
    <w:rsid w:val="009C4258"/>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37E6"/>
    <w:rsid w:val="00A945B6"/>
    <w:rsid w:val="00A95EE2"/>
    <w:rsid w:val="00A978C3"/>
    <w:rsid w:val="00AA004A"/>
    <w:rsid w:val="00AA33E3"/>
    <w:rsid w:val="00AA59C8"/>
    <w:rsid w:val="00AA66A8"/>
    <w:rsid w:val="00AA7145"/>
    <w:rsid w:val="00AB02A8"/>
    <w:rsid w:val="00AB092F"/>
    <w:rsid w:val="00AB4CC5"/>
    <w:rsid w:val="00AC131C"/>
    <w:rsid w:val="00AC2BD9"/>
    <w:rsid w:val="00AD5F80"/>
    <w:rsid w:val="00AE3DBA"/>
    <w:rsid w:val="00AE61AD"/>
    <w:rsid w:val="00AF0885"/>
    <w:rsid w:val="00AF747D"/>
    <w:rsid w:val="00B01322"/>
    <w:rsid w:val="00B14747"/>
    <w:rsid w:val="00B15621"/>
    <w:rsid w:val="00B34200"/>
    <w:rsid w:val="00B42691"/>
    <w:rsid w:val="00B51B4A"/>
    <w:rsid w:val="00B62562"/>
    <w:rsid w:val="00B738BB"/>
    <w:rsid w:val="00B74510"/>
    <w:rsid w:val="00B84EF5"/>
    <w:rsid w:val="00B90683"/>
    <w:rsid w:val="00B926C3"/>
    <w:rsid w:val="00BA04F4"/>
    <w:rsid w:val="00BA499D"/>
    <w:rsid w:val="00BA656E"/>
    <w:rsid w:val="00BB02DF"/>
    <w:rsid w:val="00BB2E5B"/>
    <w:rsid w:val="00BB41B0"/>
    <w:rsid w:val="00BB7DCC"/>
    <w:rsid w:val="00BB7EE6"/>
    <w:rsid w:val="00BC5E35"/>
    <w:rsid w:val="00BD0164"/>
    <w:rsid w:val="00BD0510"/>
    <w:rsid w:val="00BD2206"/>
    <w:rsid w:val="00BD6259"/>
    <w:rsid w:val="00BF096F"/>
    <w:rsid w:val="00BF37E8"/>
    <w:rsid w:val="00BF3A80"/>
    <w:rsid w:val="00C27F27"/>
    <w:rsid w:val="00C302BD"/>
    <w:rsid w:val="00C30E85"/>
    <w:rsid w:val="00C33494"/>
    <w:rsid w:val="00C342D6"/>
    <w:rsid w:val="00C418FB"/>
    <w:rsid w:val="00C43099"/>
    <w:rsid w:val="00C51F27"/>
    <w:rsid w:val="00C61B6E"/>
    <w:rsid w:val="00C630E0"/>
    <w:rsid w:val="00C66852"/>
    <w:rsid w:val="00C81BB1"/>
    <w:rsid w:val="00C844EB"/>
    <w:rsid w:val="00C867A7"/>
    <w:rsid w:val="00C907B7"/>
    <w:rsid w:val="00C92F98"/>
    <w:rsid w:val="00C93548"/>
    <w:rsid w:val="00CA4152"/>
    <w:rsid w:val="00CB14A8"/>
    <w:rsid w:val="00CC07C8"/>
    <w:rsid w:val="00CC4763"/>
    <w:rsid w:val="00CD0D0C"/>
    <w:rsid w:val="00CD25EF"/>
    <w:rsid w:val="00CE403B"/>
    <w:rsid w:val="00CF22E4"/>
    <w:rsid w:val="00CF6388"/>
    <w:rsid w:val="00CF7BCA"/>
    <w:rsid w:val="00D0269F"/>
    <w:rsid w:val="00D027DD"/>
    <w:rsid w:val="00D02F53"/>
    <w:rsid w:val="00D041E9"/>
    <w:rsid w:val="00D04ABF"/>
    <w:rsid w:val="00D078C6"/>
    <w:rsid w:val="00D07944"/>
    <w:rsid w:val="00D079A1"/>
    <w:rsid w:val="00D10DCB"/>
    <w:rsid w:val="00D12802"/>
    <w:rsid w:val="00D14366"/>
    <w:rsid w:val="00D21FB3"/>
    <w:rsid w:val="00D27080"/>
    <w:rsid w:val="00D37415"/>
    <w:rsid w:val="00D50014"/>
    <w:rsid w:val="00D53F64"/>
    <w:rsid w:val="00D569A1"/>
    <w:rsid w:val="00D5740A"/>
    <w:rsid w:val="00D65875"/>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633"/>
    <w:rsid w:val="00DF6F21"/>
    <w:rsid w:val="00E000B5"/>
    <w:rsid w:val="00E03601"/>
    <w:rsid w:val="00E0710C"/>
    <w:rsid w:val="00E1355A"/>
    <w:rsid w:val="00E17A3E"/>
    <w:rsid w:val="00E22AF3"/>
    <w:rsid w:val="00E27BC3"/>
    <w:rsid w:val="00E30769"/>
    <w:rsid w:val="00E3236B"/>
    <w:rsid w:val="00E33070"/>
    <w:rsid w:val="00E3336E"/>
    <w:rsid w:val="00E3435A"/>
    <w:rsid w:val="00E42ED7"/>
    <w:rsid w:val="00E45552"/>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49EF"/>
    <w:rsid w:val="00EF561D"/>
    <w:rsid w:val="00EF57D4"/>
    <w:rsid w:val="00EF7D25"/>
    <w:rsid w:val="00F00503"/>
    <w:rsid w:val="00F066B1"/>
    <w:rsid w:val="00F079D1"/>
    <w:rsid w:val="00F177D2"/>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paragraph" w:customStyle="1" w:styleId="pubblication-date">
    <w:name w:val="pubblication-date"/>
    <w:basedOn w:val="Normale"/>
    <w:rsid w:val="009C425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406001927">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20939472">
      <w:bodyDiv w:val="1"/>
      <w:marLeft w:val="0"/>
      <w:marRight w:val="0"/>
      <w:marTop w:val="0"/>
      <w:marBottom w:val="0"/>
      <w:divBdr>
        <w:top w:val="none" w:sz="0" w:space="0" w:color="auto"/>
        <w:left w:val="none" w:sz="0" w:space="0" w:color="auto"/>
        <w:bottom w:val="none" w:sz="0" w:space="0" w:color="auto"/>
        <w:right w:val="none" w:sz="0" w:space="0" w:color="auto"/>
      </w:divBdr>
      <w:divsChild>
        <w:div w:id="1986468457">
          <w:marLeft w:val="0"/>
          <w:marRight w:val="0"/>
          <w:marTop w:val="0"/>
          <w:marBottom w:val="0"/>
          <w:divBdr>
            <w:top w:val="none" w:sz="0" w:space="0" w:color="auto"/>
            <w:left w:val="none" w:sz="0" w:space="0" w:color="auto"/>
            <w:bottom w:val="none" w:sz="0" w:space="0" w:color="auto"/>
            <w:right w:val="none" w:sz="0" w:space="0" w:color="auto"/>
          </w:divBdr>
        </w:div>
        <w:div w:id="364411832">
          <w:marLeft w:val="0"/>
          <w:marRight w:val="0"/>
          <w:marTop w:val="0"/>
          <w:marBottom w:val="0"/>
          <w:divBdr>
            <w:top w:val="none" w:sz="0" w:space="0" w:color="auto"/>
            <w:left w:val="none" w:sz="0" w:space="0" w:color="auto"/>
            <w:bottom w:val="none" w:sz="0" w:space="0" w:color="auto"/>
            <w:right w:val="none" w:sz="0" w:space="0" w:color="auto"/>
          </w:divBdr>
          <w:divsChild>
            <w:div w:id="803355839">
              <w:marLeft w:val="0"/>
              <w:marRight w:val="0"/>
              <w:marTop w:val="0"/>
              <w:marBottom w:val="0"/>
              <w:divBdr>
                <w:top w:val="none" w:sz="0" w:space="0" w:color="auto"/>
                <w:left w:val="none" w:sz="0" w:space="0" w:color="auto"/>
                <w:bottom w:val="none" w:sz="0" w:space="0" w:color="auto"/>
                <w:right w:val="none" w:sz="0" w:space="0" w:color="auto"/>
              </w:divBdr>
              <w:divsChild>
                <w:div w:id="1956209639">
                  <w:marLeft w:val="0"/>
                  <w:marRight w:val="0"/>
                  <w:marTop w:val="0"/>
                  <w:marBottom w:val="0"/>
                  <w:divBdr>
                    <w:top w:val="none" w:sz="0" w:space="0" w:color="auto"/>
                    <w:left w:val="none" w:sz="0" w:space="0" w:color="auto"/>
                    <w:bottom w:val="none" w:sz="0" w:space="0" w:color="auto"/>
                    <w:right w:val="none" w:sz="0" w:space="0" w:color="auto"/>
                  </w:divBdr>
                  <w:divsChild>
                    <w:div w:id="17237592">
                      <w:marLeft w:val="0"/>
                      <w:marRight w:val="0"/>
                      <w:marTop w:val="0"/>
                      <w:marBottom w:val="0"/>
                      <w:divBdr>
                        <w:top w:val="none" w:sz="0" w:space="0" w:color="auto"/>
                        <w:left w:val="none" w:sz="0" w:space="0" w:color="auto"/>
                        <w:bottom w:val="none" w:sz="0" w:space="0" w:color="auto"/>
                        <w:right w:val="none" w:sz="0" w:space="0" w:color="auto"/>
                      </w:divBdr>
                      <w:divsChild>
                        <w:div w:id="857818166">
                          <w:marLeft w:val="0"/>
                          <w:marRight w:val="0"/>
                          <w:marTop w:val="0"/>
                          <w:marBottom w:val="900"/>
                          <w:divBdr>
                            <w:top w:val="none" w:sz="0" w:space="0" w:color="auto"/>
                            <w:left w:val="none" w:sz="0" w:space="0" w:color="auto"/>
                            <w:bottom w:val="none" w:sz="0" w:space="0" w:color="auto"/>
                            <w:right w:val="none" w:sz="0" w:space="0" w:color="auto"/>
                          </w:divBdr>
                        </w:div>
                        <w:div w:id="630398845">
                          <w:marLeft w:val="0"/>
                          <w:marRight w:val="0"/>
                          <w:marTop w:val="0"/>
                          <w:marBottom w:val="0"/>
                          <w:divBdr>
                            <w:top w:val="none" w:sz="0" w:space="0" w:color="auto"/>
                            <w:left w:val="none" w:sz="0" w:space="0" w:color="auto"/>
                            <w:bottom w:val="none" w:sz="0" w:space="0" w:color="auto"/>
                            <w:right w:val="none" w:sz="0" w:space="0" w:color="auto"/>
                          </w:divBdr>
                          <w:divsChild>
                            <w:div w:id="1460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657</Words>
  <Characters>3748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Mauro Parracino</cp:lastModifiedBy>
  <cp:revision>2</cp:revision>
  <cp:lastPrinted>2022-11-10T10:03:00Z</cp:lastPrinted>
  <dcterms:created xsi:type="dcterms:W3CDTF">2022-12-19T10:36:00Z</dcterms:created>
  <dcterms:modified xsi:type="dcterms:W3CDTF">2022-12-19T10:36:00Z</dcterms:modified>
</cp:coreProperties>
</file>