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7FCE5" w14:textId="77777777" w:rsidR="00C82BAE" w:rsidRPr="00C82BAE" w:rsidRDefault="00C82BAE" w:rsidP="00C82BAE">
      <w:pPr>
        <w:pStyle w:val="xxp1"/>
        <w:shd w:val="clear" w:color="auto" w:fill="FFFFFF"/>
        <w:jc w:val="both"/>
        <w:rPr>
          <w:rFonts w:ascii="Times New Roman" w:hAnsi="Times New Roman" w:cs="Times New Roman"/>
          <w:color w:val="000000"/>
          <w:sz w:val="24"/>
          <w:szCs w:val="24"/>
        </w:rPr>
      </w:pPr>
      <w:r w:rsidRPr="00C82BAE">
        <w:rPr>
          <w:rFonts w:ascii="Arial" w:hAnsi="Arial" w:cs="Arial"/>
          <w:color w:val="000000"/>
          <w:sz w:val="24"/>
          <w:szCs w:val="24"/>
        </w:rPr>
        <w:t>Comunicato Stampa</w:t>
      </w:r>
    </w:p>
    <w:p w14:paraId="3023F692" w14:textId="77777777" w:rsidR="00C82BAE" w:rsidRDefault="00C82BAE" w:rsidP="00C82BAE">
      <w:pPr>
        <w:pStyle w:val="xxp1"/>
        <w:shd w:val="clear" w:color="auto" w:fill="FFFFFF"/>
        <w:jc w:val="both"/>
        <w:rPr>
          <w:rFonts w:ascii="Arial" w:hAnsi="Arial" w:cs="Arial"/>
          <w:b/>
          <w:bCs/>
          <w:color w:val="000000"/>
          <w:sz w:val="24"/>
          <w:szCs w:val="24"/>
        </w:rPr>
      </w:pPr>
    </w:p>
    <w:p w14:paraId="0626298A" w14:textId="0B53FD2A" w:rsidR="00C82BAE" w:rsidRPr="00C82BAE" w:rsidRDefault="00C82BAE" w:rsidP="00C82BAE">
      <w:pPr>
        <w:pStyle w:val="xxp1"/>
        <w:shd w:val="clear" w:color="auto" w:fill="FFFFFF"/>
        <w:jc w:val="both"/>
        <w:rPr>
          <w:rFonts w:ascii="Times New Roman" w:hAnsi="Times New Roman" w:cs="Times New Roman"/>
          <w:color w:val="000000"/>
          <w:sz w:val="24"/>
          <w:szCs w:val="24"/>
        </w:rPr>
      </w:pPr>
      <w:r w:rsidRPr="00C82BAE">
        <w:rPr>
          <w:rFonts w:ascii="Arial" w:hAnsi="Arial" w:cs="Arial"/>
          <w:b/>
          <w:bCs/>
          <w:color w:val="000000"/>
          <w:sz w:val="24"/>
          <w:szCs w:val="24"/>
        </w:rPr>
        <w:t>COMMERCIALISTI: IL BILANCIO DEGLI ENTI DEL TERZO SETTORE</w:t>
      </w:r>
      <w:r w:rsidRPr="00C82BAE">
        <w:rPr>
          <w:rStyle w:val="xxapple-converted-space"/>
          <w:rFonts w:ascii="Arial" w:hAnsi="Arial" w:cs="Arial"/>
          <w:b/>
          <w:bCs/>
          <w:color w:val="000000"/>
          <w:sz w:val="24"/>
          <w:szCs w:val="24"/>
        </w:rPr>
        <w:t> </w:t>
      </w:r>
    </w:p>
    <w:p w14:paraId="01145094" w14:textId="77777777" w:rsidR="00C82BAE" w:rsidRPr="00C82BAE" w:rsidRDefault="00C82BAE" w:rsidP="00C82BAE">
      <w:pPr>
        <w:pStyle w:val="xxp2"/>
        <w:shd w:val="clear" w:color="auto" w:fill="FFFFFF"/>
        <w:jc w:val="both"/>
        <w:rPr>
          <w:rFonts w:ascii="Times New Roman" w:hAnsi="Times New Roman" w:cs="Times New Roman"/>
          <w:color w:val="000000"/>
          <w:sz w:val="24"/>
          <w:szCs w:val="24"/>
        </w:rPr>
      </w:pPr>
      <w:r w:rsidRPr="00C82BAE">
        <w:rPr>
          <w:rFonts w:ascii="Arial" w:hAnsi="Arial" w:cs="Arial"/>
          <w:b/>
          <w:bCs/>
          <w:color w:val="000000"/>
          <w:sz w:val="24"/>
          <w:szCs w:val="24"/>
        </w:rPr>
        <w:t>Una prima analisi del decreto del Ministero del lavoro e delle politiche sociali del 5 marzo 2020 su un comparto che, secondo le ultime rilevazioni Istat, conta 350.000 organizzazioni e 1,1 milioni di occupati</w:t>
      </w:r>
    </w:p>
    <w:p w14:paraId="7FD531D5" w14:textId="77777777" w:rsidR="00C82BAE" w:rsidRDefault="00C82BAE" w:rsidP="00C82BAE">
      <w:pPr>
        <w:pStyle w:val="xxp1"/>
        <w:shd w:val="clear" w:color="auto" w:fill="FFFFFF"/>
        <w:jc w:val="both"/>
        <w:rPr>
          <w:rFonts w:ascii="Arial" w:hAnsi="Arial" w:cs="Arial"/>
          <w:color w:val="000000"/>
          <w:sz w:val="24"/>
          <w:szCs w:val="24"/>
        </w:rPr>
      </w:pPr>
    </w:p>
    <w:p w14:paraId="43672A95" w14:textId="0BFDA7EF" w:rsidR="00C82BAE" w:rsidRDefault="00C82BAE" w:rsidP="00C82BAE">
      <w:pPr>
        <w:pStyle w:val="xxp1"/>
        <w:shd w:val="clear" w:color="auto" w:fill="FFFFFF"/>
        <w:jc w:val="both"/>
        <w:rPr>
          <w:rFonts w:ascii="Arial" w:hAnsi="Arial" w:cs="Arial"/>
          <w:color w:val="000000"/>
          <w:sz w:val="24"/>
          <w:szCs w:val="24"/>
        </w:rPr>
      </w:pPr>
      <w:r w:rsidRPr="00C82BAE">
        <w:rPr>
          <w:rFonts w:ascii="Arial" w:hAnsi="Arial" w:cs="Arial"/>
          <w:i/>
          <w:iCs/>
          <w:color w:val="000000"/>
          <w:sz w:val="24"/>
          <w:szCs w:val="24"/>
        </w:rPr>
        <w:t>Roma</w:t>
      </w:r>
      <w:r w:rsidRPr="00C82BAE">
        <w:rPr>
          <w:rFonts w:ascii="Arial" w:hAnsi="Arial" w:cs="Arial"/>
          <w:i/>
          <w:iCs/>
          <w:color w:val="000000"/>
          <w:sz w:val="24"/>
          <w:szCs w:val="24"/>
        </w:rPr>
        <w:t>,</w:t>
      </w:r>
      <w:r w:rsidRPr="00C82BAE">
        <w:rPr>
          <w:rFonts w:ascii="Arial" w:hAnsi="Arial" w:cs="Arial"/>
          <w:i/>
          <w:iCs/>
          <w:color w:val="000000"/>
          <w:sz w:val="24"/>
          <w:szCs w:val="24"/>
        </w:rPr>
        <w:t xml:space="preserve"> 19 novembre 2020</w:t>
      </w:r>
      <w:r>
        <w:rPr>
          <w:rFonts w:ascii="Times New Roman" w:hAnsi="Times New Roman" w:cs="Times New Roman"/>
          <w:color w:val="000000"/>
          <w:sz w:val="24"/>
          <w:szCs w:val="24"/>
        </w:rPr>
        <w:t xml:space="preserve"> – </w:t>
      </w:r>
      <w:r w:rsidRPr="00C82BAE">
        <w:rPr>
          <w:rFonts w:ascii="Arial" w:hAnsi="Arial" w:cs="Arial"/>
          <w:color w:val="000000"/>
          <w:sz w:val="24"/>
          <w:szCs w:val="24"/>
        </w:rPr>
        <w:t xml:space="preserve">Il Consiglio e la Fondazione </w:t>
      </w:r>
      <w:r>
        <w:rPr>
          <w:rFonts w:ascii="Arial" w:hAnsi="Arial" w:cs="Arial"/>
          <w:color w:val="000000"/>
          <w:sz w:val="24"/>
          <w:szCs w:val="24"/>
        </w:rPr>
        <w:t>n</w:t>
      </w:r>
      <w:r w:rsidRPr="00C82BAE">
        <w:rPr>
          <w:rFonts w:ascii="Arial" w:hAnsi="Arial" w:cs="Arial"/>
          <w:color w:val="000000"/>
          <w:sz w:val="24"/>
          <w:szCs w:val="24"/>
        </w:rPr>
        <w:t>azional</w:t>
      </w:r>
      <w:r>
        <w:rPr>
          <w:rFonts w:ascii="Arial" w:hAnsi="Arial" w:cs="Arial"/>
          <w:color w:val="000000"/>
          <w:sz w:val="24"/>
          <w:szCs w:val="24"/>
        </w:rPr>
        <w:t>i</w:t>
      </w:r>
      <w:r w:rsidRPr="00C82BAE">
        <w:rPr>
          <w:rFonts w:ascii="Arial" w:hAnsi="Arial" w:cs="Arial"/>
          <w:color w:val="000000"/>
          <w:sz w:val="24"/>
          <w:szCs w:val="24"/>
        </w:rPr>
        <w:t xml:space="preserve"> dei </w:t>
      </w:r>
      <w:r>
        <w:rPr>
          <w:rFonts w:ascii="Arial" w:hAnsi="Arial" w:cs="Arial"/>
          <w:color w:val="000000"/>
          <w:sz w:val="24"/>
          <w:szCs w:val="24"/>
        </w:rPr>
        <w:t>c</w:t>
      </w:r>
      <w:r w:rsidRPr="00C82BAE">
        <w:rPr>
          <w:rFonts w:ascii="Arial" w:hAnsi="Arial" w:cs="Arial"/>
          <w:color w:val="000000"/>
          <w:sz w:val="24"/>
          <w:szCs w:val="24"/>
        </w:rPr>
        <w:t>ommercialisti hanno pubblicato “Il Bilancio degli Enti del Terzo Settore”.</w:t>
      </w:r>
      <w:r w:rsidRPr="00C82BAE">
        <w:rPr>
          <w:rStyle w:val="xxapple-converted-space"/>
          <w:rFonts w:ascii="Arial" w:hAnsi="Arial" w:cs="Arial"/>
          <w:color w:val="000000"/>
          <w:sz w:val="24"/>
          <w:szCs w:val="24"/>
        </w:rPr>
        <w:t> </w:t>
      </w:r>
      <w:r w:rsidRPr="00C82BAE">
        <w:rPr>
          <w:rFonts w:ascii="Arial" w:hAnsi="Arial" w:cs="Arial"/>
          <w:color w:val="000000"/>
          <w:sz w:val="24"/>
          <w:szCs w:val="24"/>
        </w:rPr>
        <w:t>Il volume di Matteo Pozzoli, Professore associato di Economia aziendale presso l’Università degli Studi di Napoli “</w:t>
      </w:r>
      <w:proofErr w:type="spellStart"/>
      <w:r w:rsidRPr="00C82BAE">
        <w:rPr>
          <w:rFonts w:ascii="Arial" w:hAnsi="Arial" w:cs="Arial"/>
          <w:color w:val="000000"/>
          <w:sz w:val="24"/>
          <w:szCs w:val="24"/>
        </w:rPr>
        <w:t>Parthenope</w:t>
      </w:r>
      <w:proofErr w:type="spellEnd"/>
      <w:r w:rsidRPr="00C82BAE">
        <w:rPr>
          <w:rFonts w:ascii="Arial" w:hAnsi="Arial" w:cs="Arial"/>
          <w:color w:val="000000"/>
          <w:sz w:val="24"/>
          <w:szCs w:val="24"/>
        </w:rPr>
        <w:t xml:space="preserve">”, con presentazione di Maurizio Postal, </w:t>
      </w:r>
      <w:r w:rsidR="008916F5">
        <w:rPr>
          <w:rFonts w:ascii="Arial" w:hAnsi="Arial" w:cs="Arial"/>
          <w:color w:val="000000"/>
          <w:sz w:val="24"/>
          <w:szCs w:val="24"/>
        </w:rPr>
        <w:t>c</w:t>
      </w:r>
      <w:r w:rsidRPr="00C82BAE">
        <w:rPr>
          <w:rFonts w:ascii="Arial" w:hAnsi="Arial" w:cs="Arial"/>
          <w:color w:val="000000"/>
          <w:sz w:val="24"/>
          <w:szCs w:val="24"/>
        </w:rPr>
        <w:t>onsigliere</w:t>
      </w:r>
      <w:r w:rsidR="008916F5">
        <w:rPr>
          <w:rFonts w:ascii="Arial" w:hAnsi="Arial" w:cs="Arial"/>
          <w:color w:val="000000"/>
          <w:sz w:val="24"/>
          <w:szCs w:val="24"/>
        </w:rPr>
        <w:t xml:space="preserve"> del CNDCEC</w:t>
      </w:r>
      <w:r w:rsidRPr="00C82BAE">
        <w:rPr>
          <w:rFonts w:ascii="Arial" w:hAnsi="Arial" w:cs="Arial"/>
          <w:color w:val="000000"/>
          <w:sz w:val="24"/>
          <w:szCs w:val="24"/>
        </w:rPr>
        <w:t xml:space="preserve"> con delega al No Profit, </w:t>
      </w:r>
      <w:r w:rsidR="008916F5">
        <w:rPr>
          <w:rFonts w:ascii="Arial" w:hAnsi="Arial" w:cs="Arial"/>
          <w:color w:val="000000"/>
          <w:sz w:val="24"/>
          <w:szCs w:val="24"/>
        </w:rPr>
        <w:t>analizza i</w:t>
      </w:r>
      <w:r w:rsidRPr="00C82BAE">
        <w:rPr>
          <w:rFonts w:ascii="Arial" w:hAnsi="Arial" w:cs="Arial"/>
          <w:color w:val="000000"/>
          <w:sz w:val="24"/>
          <w:szCs w:val="24"/>
        </w:rPr>
        <w:t>l decreto del Ministero del lavoro e delle politiche sociali del</w:t>
      </w:r>
      <w:r w:rsidR="008916F5">
        <w:rPr>
          <w:rFonts w:ascii="Arial" w:hAnsi="Arial" w:cs="Arial"/>
          <w:color w:val="000000"/>
          <w:sz w:val="24"/>
          <w:szCs w:val="24"/>
        </w:rPr>
        <w:t>lo scorso</w:t>
      </w:r>
      <w:r w:rsidRPr="00C82BAE">
        <w:rPr>
          <w:rFonts w:ascii="Arial" w:hAnsi="Arial" w:cs="Arial"/>
          <w:color w:val="000000"/>
          <w:sz w:val="24"/>
          <w:szCs w:val="24"/>
        </w:rPr>
        <w:t xml:space="preserve"> 5 marzo.</w:t>
      </w:r>
    </w:p>
    <w:p w14:paraId="1A25403A" w14:textId="77777777" w:rsidR="00C82BAE" w:rsidRDefault="00C82BAE" w:rsidP="00C82BAE">
      <w:pPr>
        <w:pStyle w:val="xxp1"/>
        <w:shd w:val="clear" w:color="auto" w:fill="FFFFFF"/>
        <w:jc w:val="both"/>
        <w:rPr>
          <w:rFonts w:ascii="Arial" w:hAnsi="Arial" w:cs="Arial"/>
          <w:color w:val="000000"/>
          <w:sz w:val="24"/>
          <w:szCs w:val="24"/>
        </w:rPr>
      </w:pPr>
    </w:p>
    <w:p w14:paraId="6BF6331C" w14:textId="0D4A156D" w:rsidR="00C82BAE" w:rsidRPr="00C82BAE" w:rsidRDefault="00C82BAE" w:rsidP="00C82BAE">
      <w:pPr>
        <w:pStyle w:val="xxp1"/>
        <w:shd w:val="clear" w:color="auto" w:fill="FFFFFF"/>
        <w:jc w:val="both"/>
        <w:rPr>
          <w:rFonts w:ascii="Times New Roman" w:hAnsi="Times New Roman" w:cs="Times New Roman"/>
          <w:color w:val="000000"/>
          <w:sz w:val="24"/>
          <w:szCs w:val="24"/>
        </w:rPr>
      </w:pPr>
      <w:r w:rsidRPr="00C82BAE">
        <w:rPr>
          <w:rFonts w:ascii="Arial" w:hAnsi="Arial" w:cs="Arial"/>
          <w:color w:val="000000"/>
          <w:sz w:val="24"/>
          <w:szCs w:val="24"/>
        </w:rPr>
        <w:t xml:space="preserve">L’interesse dei professionisti e, nello specifico, della categoria dei commercialisti per gli enti non lucrativi </w:t>
      </w:r>
      <w:r w:rsidR="008916F5">
        <w:rPr>
          <w:rFonts w:ascii="Arial" w:hAnsi="Arial" w:cs="Arial"/>
          <w:color w:val="000000"/>
          <w:sz w:val="24"/>
          <w:szCs w:val="24"/>
        </w:rPr>
        <w:t xml:space="preserve">rappresenta </w:t>
      </w:r>
      <w:r w:rsidRPr="00C82BAE">
        <w:rPr>
          <w:rFonts w:ascii="Arial" w:hAnsi="Arial" w:cs="Arial"/>
          <w:color w:val="000000"/>
          <w:sz w:val="24"/>
          <w:szCs w:val="24"/>
        </w:rPr>
        <w:t>un interesse morale oltre che professionale, che coinvolge, secondo le ultime rilevazioni Istat, una platea in continua espansione di circa 350.000 organizzazioni e capace di dare lavoro a circa 1,1 milione di persone. La gamma delle organizzazioni non profit risulta estremamente eterogenea per attività e organizzazione, coinvolgendo strutture articolate su base federativ</w:t>
      </w:r>
      <w:r w:rsidR="008916F5">
        <w:rPr>
          <w:rFonts w:ascii="Arial" w:hAnsi="Arial" w:cs="Arial"/>
          <w:color w:val="000000"/>
          <w:sz w:val="24"/>
          <w:szCs w:val="24"/>
        </w:rPr>
        <w:t>a</w:t>
      </w:r>
      <w:r w:rsidRPr="00C82BAE">
        <w:rPr>
          <w:rFonts w:ascii="Arial" w:hAnsi="Arial" w:cs="Arial"/>
          <w:color w:val="000000"/>
          <w:sz w:val="24"/>
          <w:szCs w:val="24"/>
        </w:rPr>
        <w:t xml:space="preserve"> a livello nazionale e internazionale come piccole realtà associative, sorte su impulso spesso personale o di gruppi di persone desiderose di apportare un proprio contributo allo sviluppo (sostenibile) della società civile e delle comunità di riferimento. </w:t>
      </w:r>
    </w:p>
    <w:p w14:paraId="690FE011" w14:textId="77777777" w:rsidR="00C82BAE" w:rsidRDefault="00C82BAE" w:rsidP="00C82BAE">
      <w:pPr>
        <w:pStyle w:val="xxp1"/>
        <w:shd w:val="clear" w:color="auto" w:fill="FFFFFF"/>
        <w:jc w:val="both"/>
        <w:rPr>
          <w:rFonts w:ascii="Arial" w:hAnsi="Arial" w:cs="Arial"/>
          <w:color w:val="000000"/>
          <w:sz w:val="24"/>
          <w:szCs w:val="24"/>
        </w:rPr>
      </w:pPr>
    </w:p>
    <w:p w14:paraId="20E21EEC" w14:textId="77777777" w:rsidR="008916F5" w:rsidRDefault="00C82BAE" w:rsidP="00C82BAE">
      <w:pPr>
        <w:pStyle w:val="xxp1"/>
        <w:shd w:val="clear" w:color="auto" w:fill="FFFFFF"/>
        <w:jc w:val="both"/>
        <w:rPr>
          <w:rStyle w:val="xxapple-converted-space"/>
          <w:rFonts w:ascii="Arial" w:hAnsi="Arial" w:cs="Arial"/>
          <w:color w:val="000000"/>
          <w:sz w:val="24"/>
          <w:szCs w:val="24"/>
        </w:rPr>
      </w:pPr>
      <w:r w:rsidRPr="00C82BAE">
        <w:rPr>
          <w:rFonts w:ascii="Arial" w:hAnsi="Arial" w:cs="Arial"/>
          <w:color w:val="000000"/>
          <w:sz w:val="24"/>
          <w:szCs w:val="24"/>
        </w:rPr>
        <w:t>Nella particolare fase di congiuntura economico-sociale, segnata dall’emergenza pandemica e dai conseguenti disagi che la stessa ha creato nella gestione dei servizi “essenziali”, il Terzo settore è chiamato in via rafforzata a ricoprire un ruolo di sussidiarietà rispetto alla pubblica amministrazione</w:t>
      </w:r>
      <w:r w:rsidR="008916F5">
        <w:rPr>
          <w:rFonts w:ascii="Arial" w:hAnsi="Arial" w:cs="Arial"/>
          <w:color w:val="000000"/>
          <w:sz w:val="24"/>
          <w:szCs w:val="24"/>
        </w:rPr>
        <w:t>,</w:t>
      </w:r>
      <w:r w:rsidRPr="00C82BAE">
        <w:rPr>
          <w:rFonts w:ascii="Arial" w:hAnsi="Arial" w:cs="Arial"/>
          <w:color w:val="000000"/>
          <w:sz w:val="24"/>
          <w:szCs w:val="24"/>
        </w:rPr>
        <w:t xml:space="preserve"> che la sentenza della Corte costituzionale n. 131 del 2020 ha voluto recentemente ribadire, richiamando il ruolo proattivo che le organizzazioni, in particolare gli enti del Terzo settore, dovrebbero ricoprire nel produrre servizi di interesse generale per le realtà locali a fianco della pubblica amministrazione.</w:t>
      </w:r>
    </w:p>
    <w:p w14:paraId="43393359" w14:textId="77777777" w:rsidR="008916F5" w:rsidRDefault="008916F5" w:rsidP="00C82BAE">
      <w:pPr>
        <w:pStyle w:val="xxp1"/>
        <w:shd w:val="clear" w:color="auto" w:fill="FFFFFF"/>
        <w:jc w:val="both"/>
        <w:rPr>
          <w:rStyle w:val="xxapple-converted-space"/>
          <w:rFonts w:ascii="Arial" w:hAnsi="Arial" w:cs="Arial"/>
          <w:color w:val="000000"/>
          <w:sz w:val="24"/>
          <w:szCs w:val="24"/>
        </w:rPr>
      </w:pPr>
    </w:p>
    <w:p w14:paraId="5F13AA46" w14:textId="42EB111F" w:rsidR="00C82BAE" w:rsidRPr="00C82BAE" w:rsidRDefault="00C82BAE" w:rsidP="00C82BAE">
      <w:pPr>
        <w:pStyle w:val="xxp1"/>
        <w:shd w:val="clear" w:color="auto" w:fill="FFFFFF"/>
        <w:jc w:val="both"/>
        <w:rPr>
          <w:rFonts w:ascii="Times New Roman" w:hAnsi="Times New Roman" w:cs="Times New Roman"/>
          <w:color w:val="000000"/>
          <w:sz w:val="24"/>
          <w:szCs w:val="24"/>
        </w:rPr>
      </w:pPr>
      <w:r w:rsidRPr="00C82BAE">
        <w:rPr>
          <w:rFonts w:ascii="Arial" w:hAnsi="Arial" w:cs="Arial"/>
          <w:color w:val="000000"/>
          <w:sz w:val="24"/>
          <w:szCs w:val="24"/>
        </w:rPr>
        <w:t>La particolarità della normativa e la difficoltà sostanziale, in molti casi, nel trasporre schemi e paradigmi propri del mondo societario al mondo non profit ha</w:t>
      </w:r>
      <w:r w:rsidR="008916F5">
        <w:rPr>
          <w:rFonts w:ascii="Arial" w:hAnsi="Arial" w:cs="Arial"/>
          <w:color w:val="000000"/>
          <w:sz w:val="24"/>
          <w:szCs w:val="24"/>
        </w:rPr>
        <w:t>nno</w:t>
      </w:r>
      <w:r w:rsidRPr="00C82BAE">
        <w:rPr>
          <w:rFonts w:ascii="Arial" w:hAnsi="Arial" w:cs="Arial"/>
          <w:color w:val="000000"/>
          <w:sz w:val="24"/>
          <w:szCs w:val="24"/>
        </w:rPr>
        <w:t xml:space="preserve"> già creato da tempo, anche all’interno della categoria, una “specializzazione” per molti professionisti che operano nel settore, tendenza che sicuramente sarà enfatizzata in futuro con l’evoluzione normativa in atto. Il decreto ministeriale del 5 marzo 2020 al centro di questo volume è, fatta eccezione per taluni atti destinati a specifiche figure giuridiche, il primo reale atto normativo che concerne la disciplina del bilancio di enti di diritto privato non lucrativi. </w:t>
      </w:r>
    </w:p>
    <w:p w14:paraId="1485753B" w14:textId="77777777" w:rsidR="00C82BAE" w:rsidRDefault="00C82BAE" w:rsidP="00C82BAE">
      <w:pPr>
        <w:pStyle w:val="xxp1"/>
        <w:shd w:val="clear" w:color="auto" w:fill="FFFFFF"/>
        <w:jc w:val="both"/>
        <w:rPr>
          <w:rFonts w:ascii="Arial" w:hAnsi="Arial" w:cs="Arial"/>
          <w:color w:val="000000"/>
          <w:sz w:val="24"/>
          <w:szCs w:val="24"/>
        </w:rPr>
      </w:pPr>
    </w:p>
    <w:p w14:paraId="107833A6" w14:textId="2113ED5B" w:rsidR="00C82BAE" w:rsidRPr="00C82BAE" w:rsidRDefault="00C82BAE" w:rsidP="00C82BAE">
      <w:pPr>
        <w:pStyle w:val="xxp1"/>
        <w:shd w:val="clear" w:color="auto" w:fill="FFFFFF"/>
        <w:jc w:val="both"/>
        <w:rPr>
          <w:rFonts w:ascii="Times New Roman" w:hAnsi="Times New Roman" w:cs="Times New Roman"/>
          <w:color w:val="000000"/>
          <w:sz w:val="24"/>
          <w:szCs w:val="24"/>
        </w:rPr>
      </w:pPr>
      <w:r w:rsidRPr="00C82BAE">
        <w:rPr>
          <w:rFonts w:ascii="Arial" w:hAnsi="Arial" w:cs="Arial"/>
          <w:color w:val="000000"/>
          <w:sz w:val="24"/>
          <w:szCs w:val="24"/>
        </w:rPr>
        <w:t xml:space="preserve">La finalità del decreto consiste nel definire la “modulistica” di cui all’art. 13, co. 2 del </w:t>
      </w:r>
      <w:proofErr w:type="spellStart"/>
      <w:r w:rsidRPr="00C82BAE">
        <w:rPr>
          <w:rFonts w:ascii="Arial" w:hAnsi="Arial" w:cs="Arial"/>
          <w:color w:val="000000"/>
          <w:sz w:val="24"/>
          <w:szCs w:val="24"/>
        </w:rPr>
        <w:t>Cts</w:t>
      </w:r>
      <w:proofErr w:type="spellEnd"/>
      <w:r w:rsidRPr="00C82BAE">
        <w:rPr>
          <w:rFonts w:ascii="Arial" w:hAnsi="Arial" w:cs="Arial"/>
          <w:color w:val="000000"/>
          <w:sz w:val="24"/>
          <w:szCs w:val="24"/>
        </w:rPr>
        <w:t xml:space="preserve"> e trova la propria ispirazione nel precedente tentativo fatto dai commercialisti circa un ventennio fa di creare una serie di “raccomandazioni contabili” omogenee, che proprio in mancanza di una normativa di riferimento potesse rappresentare una prassi di riferimento per gli operatori, garantendo una migliore accountability e, di conseguenza, alimentando un clima di fiducia tra organizzazioni e stakeholders. In generale il Consiglio Nazionale dei Dottori Commercialisti e degli Esperti Contabili ha seguito da vicino l’iter normativo che ha portato all’emanazione della legge delega e dei decreti delegati, partecipando ad audizioni parlamentari e proponendo modifiche normative, in taluni casi recepite, che concernono i </w:t>
      </w:r>
      <w:r w:rsidRPr="00C82BAE">
        <w:rPr>
          <w:rFonts w:ascii="Arial" w:hAnsi="Arial" w:cs="Arial"/>
          <w:color w:val="000000"/>
          <w:sz w:val="24"/>
          <w:szCs w:val="24"/>
        </w:rPr>
        <w:lastRenderedPageBreak/>
        <w:t>molteplici ambiti di interesse della categoria quali gli aspetti di governance, l’amministrazione e il controllo, la normativa fiscale e molto ancora.</w:t>
      </w:r>
      <w:r w:rsidRPr="00C82BAE">
        <w:rPr>
          <w:rStyle w:val="xxapple-converted-space"/>
          <w:rFonts w:ascii="Arial" w:hAnsi="Arial" w:cs="Arial"/>
          <w:color w:val="000000"/>
          <w:sz w:val="24"/>
          <w:szCs w:val="24"/>
        </w:rPr>
        <w:t> </w:t>
      </w:r>
      <w:r w:rsidRPr="00C82BAE">
        <w:rPr>
          <w:rFonts w:ascii="Arial" w:hAnsi="Arial" w:cs="Arial"/>
          <w:color w:val="000000"/>
          <w:sz w:val="24"/>
          <w:szCs w:val="24"/>
        </w:rPr>
        <w:t xml:space="preserve">Molte sono le iniziative </w:t>
      </w:r>
      <w:proofErr w:type="gramStart"/>
      <w:r w:rsidRPr="00C82BAE">
        <w:rPr>
          <w:rFonts w:ascii="Arial" w:hAnsi="Arial" w:cs="Arial"/>
          <w:color w:val="000000"/>
          <w:sz w:val="24"/>
          <w:szCs w:val="24"/>
        </w:rPr>
        <w:t>poste in essere</w:t>
      </w:r>
      <w:proofErr w:type="gramEnd"/>
      <w:r w:rsidRPr="00C82BAE">
        <w:rPr>
          <w:rFonts w:ascii="Arial" w:hAnsi="Arial" w:cs="Arial"/>
          <w:color w:val="000000"/>
          <w:sz w:val="24"/>
          <w:szCs w:val="24"/>
        </w:rPr>
        <w:t xml:space="preserve"> anche per garantire che la Riforma possa avere un’applicazione pratica in linea con le aspettative dei colleghi, degli operatori e del legislatore.</w:t>
      </w:r>
    </w:p>
    <w:p w14:paraId="170FB422" w14:textId="77777777" w:rsidR="00C82BAE" w:rsidRDefault="00C82BAE" w:rsidP="00C82BAE">
      <w:pPr>
        <w:pStyle w:val="xxp3"/>
        <w:shd w:val="clear" w:color="auto" w:fill="FFFFFF"/>
        <w:jc w:val="both"/>
        <w:rPr>
          <w:rFonts w:ascii="Arial" w:hAnsi="Arial" w:cs="Arial"/>
          <w:color w:val="000000"/>
          <w:sz w:val="24"/>
          <w:szCs w:val="24"/>
        </w:rPr>
      </w:pPr>
    </w:p>
    <w:p w14:paraId="6E621037" w14:textId="3D459543" w:rsidR="00C82BAE" w:rsidRPr="00C82BAE" w:rsidRDefault="00C82BAE" w:rsidP="00C82BAE">
      <w:pPr>
        <w:pStyle w:val="xxp3"/>
        <w:shd w:val="clear" w:color="auto" w:fill="FFFFFF"/>
        <w:jc w:val="both"/>
        <w:rPr>
          <w:rFonts w:ascii="Times New Roman" w:hAnsi="Times New Roman" w:cs="Times New Roman"/>
          <w:color w:val="000000"/>
          <w:sz w:val="24"/>
          <w:szCs w:val="24"/>
        </w:rPr>
      </w:pPr>
      <w:r w:rsidRPr="00C82BAE">
        <w:rPr>
          <w:rFonts w:ascii="Arial" w:hAnsi="Arial" w:cs="Arial"/>
          <w:color w:val="000000"/>
          <w:sz w:val="24"/>
          <w:szCs w:val="24"/>
        </w:rPr>
        <w:t>Nell’ambito più specifico del bilancio, il Consiglio nazionale si è fatto portavoce da subito della necessità di creare principi contabili ad hoc per gli Ets, così da definire in maniera organica il “framework contabile applicabile” che è necessario per garantire a tutti gli </w:t>
      </w:r>
      <w:r w:rsidRPr="00C82BAE">
        <w:rPr>
          <w:rFonts w:ascii="Arial" w:hAnsi="Arial" w:cs="Arial"/>
          <w:i/>
          <w:iCs/>
          <w:color w:val="000000"/>
          <w:sz w:val="24"/>
          <w:szCs w:val="24"/>
        </w:rPr>
        <w:t>stakeholders </w:t>
      </w:r>
      <w:r w:rsidRPr="00C82BAE">
        <w:rPr>
          <w:rFonts w:ascii="Arial" w:hAnsi="Arial" w:cs="Arial"/>
          <w:color w:val="000000"/>
          <w:sz w:val="24"/>
          <w:szCs w:val="24"/>
        </w:rPr>
        <w:t xml:space="preserve">una uniformità di trattamento omogeneo per le diverse organizzazioni interessate e per rendere possibile ai revisori di esprimere il proprio giudizio professionale. </w:t>
      </w:r>
      <w:r>
        <w:rPr>
          <w:rFonts w:ascii="Arial" w:hAnsi="Arial" w:cs="Arial"/>
          <w:color w:val="000000"/>
          <w:sz w:val="24"/>
          <w:szCs w:val="24"/>
        </w:rPr>
        <w:t xml:space="preserve">Si </w:t>
      </w:r>
      <w:r w:rsidRPr="00C82BAE">
        <w:rPr>
          <w:rFonts w:ascii="Arial" w:hAnsi="Arial" w:cs="Arial"/>
          <w:color w:val="000000"/>
          <w:sz w:val="24"/>
          <w:szCs w:val="24"/>
        </w:rPr>
        <w:t xml:space="preserve">attende, perciò, che entro l’approvazione dei bilanci 2020 l’Organismo Italiano di Contabilità possa, grazie anche all’attività della neonominata Commissione per il Terzo settore, licenziare i nuovi principi contabili di settore. Tale pubblicazione segnerà un ulteriore tassello per la definizione della cornice tecnica che risulta funzionale all’applicazione delle nuove previsioni del </w:t>
      </w:r>
      <w:proofErr w:type="spellStart"/>
      <w:r w:rsidRPr="00C82BAE">
        <w:rPr>
          <w:rFonts w:ascii="Arial" w:hAnsi="Arial" w:cs="Arial"/>
          <w:color w:val="000000"/>
          <w:sz w:val="24"/>
          <w:szCs w:val="24"/>
        </w:rPr>
        <w:t>Cts</w:t>
      </w:r>
      <w:proofErr w:type="spellEnd"/>
      <w:r w:rsidRPr="00C82BAE">
        <w:rPr>
          <w:rFonts w:ascii="Arial" w:hAnsi="Arial" w:cs="Arial"/>
          <w:color w:val="000000"/>
          <w:sz w:val="24"/>
          <w:szCs w:val="24"/>
        </w:rPr>
        <w:t>, in materia di bilanci di esercizio.</w:t>
      </w:r>
      <w:r w:rsidRPr="00C82BAE">
        <w:rPr>
          <w:rStyle w:val="xxapple-converted-space"/>
          <w:rFonts w:ascii="Arial" w:hAnsi="Arial" w:cs="Arial"/>
          <w:color w:val="000000"/>
          <w:sz w:val="24"/>
          <w:szCs w:val="24"/>
        </w:rPr>
        <w:t> </w:t>
      </w:r>
    </w:p>
    <w:p w14:paraId="5A9A075B" w14:textId="77777777" w:rsidR="00C82BAE" w:rsidRDefault="00C82BAE" w:rsidP="00C82BAE">
      <w:pPr>
        <w:pStyle w:val="xxp3"/>
        <w:shd w:val="clear" w:color="auto" w:fill="FFFFFF"/>
        <w:jc w:val="both"/>
        <w:rPr>
          <w:rFonts w:ascii="Arial" w:hAnsi="Arial" w:cs="Arial"/>
          <w:color w:val="000000"/>
          <w:sz w:val="24"/>
          <w:szCs w:val="24"/>
        </w:rPr>
      </w:pPr>
    </w:p>
    <w:p w14:paraId="05CFDF7D" w14:textId="67F73FEA" w:rsidR="00C82BAE" w:rsidRDefault="00C82BAE" w:rsidP="00C82BAE">
      <w:pPr>
        <w:pStyle w:val="xxp3"/>
        <w:shd w:val="clear" w:color="auto" w:fill="FFFFFF"/>
        <w:jc w:val="both"/>
        <w:rPr>
          <w:rFonts w:ascii="Arial" w:hAnsi="Arial" w:cs="Arial"/>
          <w:color w:val="000000"/>
          <w:sz w:val="24"/>
          <w:szCs w:val="24"/>
        </w:rPr>
      </w:pPr>
      <w:r>
        <w:rPr>
          <w:rFonts w:ascii="Arial" w:hAnsi="Arial" w:cs="Arial"/>
          <w:color w:val="000000"/>
          <w:sz w:val="24"/>
          <w:szCs w:val="24"/>
        </w:rPr>
        <w:t xml:space="preserve">La </w:t>
      </w:r>
      <w:r w:rsidRPr="00C82BAE">
        <w:rPr>
          <w:rFonts w:ascii="Arial" w:hAnsi="Arial" w:cs="Arial"/>
          <w:color w:val="000000"/>
          <w:sz w:val="24"/>
          <w:szCs w:val="24"/>
        </w:rPr>
        <w:t xml:space="preserve">strada che porta alla realizzazione completa della Riforma richiede ancora alcuni passaggi fondamentali come l’autorizzazione ex art. 101, co. 10 del </w:t>
      </w:r>
      <w:proofErr w:type="spellStart"/>
      <w:r w:rsidRPr="00C82BAE">
        <w:rPr>
          <w:rFonts w:ascii="Arial" w:hAnsi="Arial" w:cs="Arial"/>
          <w:color w:val="000000"/>
          <w:sz w:val="24"/>
          <w:szCs w:val="24"/>
        </w:rPr>
        <w:t>Cts</w:t>
      </w:r>
      <w:proofErr w:type="spellEnd"/>
      <w:r w:rsidRPr="00C82BAE">
        <w:rPr>
          <w:rFonts w:ascii="Arial" w:hAnsi="Arial" w:cs="Arial"/>
          <w:color w:val="000000"/>
          <w:sz w:val="24"/>
          <w:szCs w:val="24"/>
        </w:rPr>
        <w:t xml:space="preserve"> che la Commissione Europea deve fornire sull’applicabilità del nuovo regime fiscale previsto per le imposte sui redditi, nonché l’operatività del Registro unico nazionale del Terzo settore, la quale richiede, oltre all’emanazione del pertinente decreto di cui all’art. 48 del </w:t>
      </w:r>
      <w:proofErr w:type="spellStart"/>
      <w:r w:rsidRPr="00C82BAE">
        <w:rPr>
          <w:rFonts w:ascii="Arial" w:hAnsi="Arial" w:cs="Arial"/>
          <w:color w:val="000000"/>
          <w:sz w:val="24"/>
          <w:szCs w:val="24"/>
        </w:rPr>
        <w:t>Cts</w:t>
      </w:r>
      <w:proofErr w:type="spellEnd"/>
      <w:r w:rsidRPr="00C82BAE">
        <w:rPr>
          <w:rFonts w:ascii="Arial" w:hAnsi="Arial" w:cs="Arial"/>
          <w:color w:val="000000"/>
          <w:sz w:val="24"/>
          <w:szCs w:val="24"/>
        </w:rPr>
        <w:t>, anche lo sviluppo di una piattaforma telematica di raccolta e conservazione delle informazioni a livello centrale e locale per niente banale.</w:t>
      </w:r>
    </w:p>
    <w:p w14:paraId="087666C3" w14:textId="77777777" w:rsidR="00C82BAE" w:rsidRDefault="00C82BAE" w:rsidP="00C82BAE">
      <w:pPr>
        <w:pStyle w:val="xxp3"/>
        <w:shd w:val="clear" w:color="auto" w:fill="FFFFFF"/>
        <w:jc w:val="both"/>
        <w:rPr>
          <w:rFonts w:ascii="Arial" w:hAnsi="Arial" w:cs="Arial"/>
          <w:color w:val="000000"/>
          <w:sz w:val="24"/>
          <w:szCs w:val="24"/>
        </w:rPr>
      </w:pPr>
      <w:bookmarkStart w:id="0" w:name="_GoBack"/>
      <w:bookmarkEnd w:id="0"/>
    </w:p>
    <w:p w14:paraId="1510E966" w14:textId="12BD6FCA" w:rsidR="00C82BAE" w:rsidRPr="00C82BAE" w:rsidRDefault="00C82BAE" w:rsidP="00C82BAE">
      <w:pPr>
        <w:pStyle w:val="xxp3"/>
        <w:shd w:val="clear" w:color="auto" w:fill="FFFFFF"/>
        <w:jc w:val="both"/>
        <w:rPr>
          <w:rFonts w:ascii="Times New Roman" w:hAnsi="Times New Roman" w:cs="Times New Roman"/>
          <w:color w:val="000000"/>
          <w:sz w:val="24"/>
          <w:szCs w:val="24"/>
        </w:rPr>
      </w:pPr>
      <w:r w:rsidRPr="00C82BAE">
        <w:rPr>
          <w:rFonts w:ascii="Arial" w:hAnsi="Arial" w:cs="Arial"/>
          <w:color w:val="000000"/>
          <w:sz w:val="24"/>
          <w:szCs w:val="24"/>
        </w:rPr>
        <w:t>Il volume, dopo l’introduzione è diviso in cinque capitoli: gli schemi di bilancio per gli ETS non piccoli e piccoli, Dal piano dei conti al bilancio (e viceversa), Deposito e tempistica di approvazione, Il percorso a venire: dei principi contabili per gli enti del Terzo Settore. Conclude una approfondita bibliografia sulla materia.</w:t>
      </w:r>
      <w:r w:rsidRPr="00C82BAE">
        <w:rPr>
          <w:rStyle w:val="xxapple-converted-space"/>
          <w:rFonts w:ascii="Arial" w:hAnsi="Arial" w:cs="Arial"/>
          <w:color w:val="000000"/>
          <w:sz w:val="24"/>
          <w:szCs w:val="24"/>
        </w:rPr>
        <w:t> </w:t>
      </w:r>
    </w:p>
    <w:p w14:paraId="5BD254B2" w14:textId="43C1C6DA" w:rsidR="00C82BAE" w:rsidRDefault="00C82BAE" w:rsidP="00C82BAE">
      <w:pPr>
        <w:pStyle w:val="xxp3"/>
        <w:shd w:val="clear" w:color="auto" w:fill="FFFFFF"/>
        <w:jc w:val="both"/>
        <w:rPr>
          <w:rFonts w:ascii="Arial" w:hAnsi="Arial" w:cs="Arial"/>
          <w:color w:val="000000"/>
          <w:sz w:val="24"/>
          <w:szCs w:val="24"/>
        </w:rPr>
      </w:pPr>
      <w:r w:rsidRPr="00C82BAE">
        <w:rPr>
          <w:rFonts w:ascii="Arial" w:hAnsi="Arial" w:cs="Arial"/>
          <w:color w:val="000000"/>
          <w:sz w:val="24"/>
          <w:szCs w:val="24"/>
        </w:rPr>
        <w:t xml:space="preserve">Il libro è scaricabile gratuitamente </w:t>
      </w:r>
      <w:r>
        <w:rPr>
          <w:rFonts w:ascii="Arial" w:hAnsi="Arial" w:cs="Arial"/>
          <w:color w:val="000000"/>
          <w:sz w:val="24"/>
          <w:szCs w:val="24"/>
        </w:rPr>
        <w:t xml:space="preserve">sul sito </w:t>
      </w:r>
      <w:hyperlink r:id="rId6" w:history="1">
        <w:r w:rsidRPr="002A4FBD">
          <w:rPr>
            <w:rStyle w:val="Collegamentoipertestuale"/>
            <w:rFonts w:ascii="Arial" w:hAnsi="Arial" w:cs="Arial"/>
            <w:sz w:val="24"/>
            <w:szCs w:val="24"/>
          </w:rPr>
          <w:t>www.fondazionenazionalecommercialistit.it</w:t>
        </w:r>
      </w:hyperlink>
      <w:r>
        <w:rPr>
          <w:rFonts w:ascii="Arial" w:hAnsi="Arial" w:cs="Arial"/>
          <w:color w:val="000000"/>
          <w:sz w:val="24"/>
          <w:szCs w:val="24"/>
        </w:rPr>
        <w:t>.</w:t>
      </w:r>
    </w:p>
    <w:sectPr w:rsidR="00C82BAE" w:rsidSect="00986D90">
      <w:head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5F133" w14:textId="77777777" w:rsidR="00514814" w:rsidRDefault="00514814" w:rsidP="00627996">
      <w:r>
        <w:separator/>
      </w:r>
    </w:p>
  </w:endnote>
  <w:endnote w:type="continuationSeparator" w:id="0">
    <w:p w14:paraId="3EDEA9B9" w14:textId="77777777" w:rsidR="00514814" w:rsidRDefault="00514814"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660A5" w14:textId="77777777" w:rsidR="00514814" w:rsidRDefault="00514814" w:rsidP="00627996">
      <w:r>
        <w:separator/>
      </w:r>
    </w:p>
  </w:footnote>
  <w:footnote w:type="continuationSeparator" w:id="0">
    <w:p w14:paraId="3488EABD" w14:textId="77777777" w:rsidR="00514814" w:rsidRDefault="00514814"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3A051" w14:textId="77777777" w:rsidR="00627996" w:rsidRDefault="00627996">
    <w:pPr>
      <w:pStyle w:val="Intestazione"/>
    </w:pPr>
    <w:r w:rsidRPr="00A945F8">
      <w:rPr>
        <w:noProof/>
      </w:rPr>
      <w:drawing>
        <wp:inline distT="0" distB="0" distL="0" distR="0" wp14:anchorId="4297FDB2" wp14:editId="5BEC66E3">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1B3759"/>
    <w:rsid w:val="001D0C92"/>
    <w:rsid w:val="00206248"/>
    <w:rsid w:val="00237BEE"/>
    <w:rsid w:val="002B1170"/>
    <w:rsid w:val="002B1507"/>
    <w:rsid w:val="002E31F2"/>
    <w:rsid w:val="003248FA"/>
    <w:rsid w:val="003506C6"/>
    <w:rsid w:val="00370611"/>
    <w:rsid w:val="00372875"/>
    <w:rsid w:val="003C2FC0"/>
    <w:rsid w:val="004E409A"/>
    <w:rsid w:val="00514814"/>
    <w:rsid w:val="00537C70"/>
    <w:rsid w:val="00595991"/>
    <w:rsid w:val="005E0451"/>
    <w:rsid w:val="006006AA"/>
    <w:rsid w:val="00627996"/>
    <w:rsid w:val="00656CC5"/>
    <w:rsid w:val="00734687"/>
    <w:rsid w:val="008916F5"/>
    <w:rsid w:val="00986D90"/>
    <w:rsid w:val="009D1104"/>
    <w:rsid w:val="009F27EC"/>
    <w:rsid w:val="00AC6BB0"/>
    <w:rsid w:val="00BF5D58"/>
    <w:rsid w:val="00C82BAE"/>
    <w:rsid w:val="00D0285A"/>
    <w:rsid w:val="00D41E98"/>
    <w:rsid w:val="00D64E46"/>
    <w:rsid w:val="00DB4B99"/>
    <w:rsid w:val="00F445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7C4BC"/>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3506C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 w:type="paragraph" w:customStyle="1" w:styleId="Default">
    <w:name w:val="Default"/>
    <w:rsid w:val="003506C6"/>
    <w:pPr>
      <w:autoSpaceDE w:val="0"/>
      <w:autoSpaceDN w:val="0"/>
      <w:adjustRightInd w:val="0"/>
    </w:pPr>
    <w:rPr>
      <w:rFonts w:ascii="Calibri" w:eastAsia="Calibri" w:hAnsi="Calibri" w:cs="Calibri"/>
      <w:color w:val="000000"/>
    </w:rPr>
  </w:style>
  <w:style w:type="paragraph" w:customStyle="1" w:styleId="p1">
    <w:name w:val="p1"/>
    <w:basedOn w:val="Normale"/>
    <w:rsid w:val="00D64E46"/>
    <w:rPr>
      <w:rFonts w:ascii="Calibri" w:hAnsi="Calibri" w:cs="Calibri"/>
      <w:sz w:val="22"/>
      <w:szCs w:val="22"/>
      <w:lang w:eastAsia="it-IT"/>
    </w:rPr>
  </w:style>
  <w:style w:type="paragraph" w:customStyle="1" w:styleId="p2">
    <w:name w:val="p2"/>
    <w:basedOn w:val="Normale"/>
    <w:rsid w:val="00D64E46"/>
    <w:rPr>
      <w:rFonts w:ascii="Calibri" w:hAnsi="Calibri" w:cs="Calibri"/>
      <w:sz w:val="22"/>
      <w:szCs w:val="22"/>
      <w:lang w:eastAsia="it-IT"/>
    </w:rPr>
  </w:style>
  <w:style w:type="character" w:customStyle="1" w:styleId="apple-converted-space">
    <w:name w:val="apple-converted-space"/>
    <w:basedOn w:val="Carpredefinitoparagrafo"/>
    <w:rsid w:val="00D64E46"/>
  </w:style>
  <w:style w:type="character" w:styleId="Collegamentoipertestuale">
    <w:name w:val="Hyperlink"/>
    <w:basedOn w:val="Carpredefinitoparagrafo"/>
    <w:uiPriority w:val="99"/>
    <w:unhideWhenUsed/>
    <w:rsid w:val="00C82BAE"/>
    <w:rPr>
      <w:color w:val="0000FF"/>
      <w:u w:val="single"/>
    </w:rPr>
  </w:style>
  <w:style w:type="paragraph" w:customStyle="1" w:styleId="xxp1">
    <w:name w:val="x_x_p1"/>
    <w:basedOn w:val="Normale"/>
    <w:rsid w:val="00C82BAE"/>
    <w:rPr>
      <w:rFonts w:ascii="Calibri" w:hAnsi="Calibri" w:cs="Calibri"/>
      <w:sz w:val="22"/>
      <w:szCs w:val="22"/>
      <w:lang w:eastAsia="it-IT"/>
    </w:rPr>
  </w:style>
  <w:style w:type="paragraph" w:customStyle="1" w:styleId="xxp2">
    <w:name w:val="x_x_p2"/>
    <w:basedOn w:val="Normale"/>
    <w:rsid w:val="00C82BAE"/>
    <w:rPr>
      <w:rFonts w:ascii="Calibri" w:hAnsi="Calibri" w:cs="Calibri"/>
      <w:sz w:val="22"/>
      <w:szCs w:val="22"/>
      <w:lang w:eastAsia="it-IT"/>
    </w:rPr>
  </w:style>
  <w:style w:type="paragraph" w:customStyle="1" w:styleId="xxp3">
    <w:name w:val="x_x_p3"/>
    <w:basedOn w:val="Normale"/>
    <w:rsid w:val="00C82BAE"/>
    <w:rPr>
      <w:rFonts w:ascii="Calibri" w:hAnsi="Calibri" w:cs="Calibri"/>
      <w:sz w:val="22"/>
      <w:szCs w:val="22"/>
      <w:lang w:eastAsia="it-IT"/>
    </w:rPr>
  </w:style>
  <w:style w:type="character" w:customStyle="1" w:styleId="xxapple-converted-space">
    <w:name w:val="x_x_apple-converted-space"/>
    <w:basedOn w:val="Carpredefinitoparagrafo"/>
    <w:rsid w:val="00C82BAE"/>
  </w:style>
  <w:style w:type="character" w:customStyle="1" w:styleId="xxs1">
    <w:name w:val="x_x_s1"/>
    <w:basedOn w:val="Carpredefinitoparagrafo"/>
    <w:rsid w:val="00C82BAE"/>
  </w:style>
  <w:style w:type="character" w:styleId="Menzionenonrisolta">
    <w:name w:val="Unresolved Mention"/>
    <w:basedOn w:val="Carpredefinitoparagrafo"/>
    <w:uiPriority w:val="99"/>
    <w:rsid w:val="00C82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218481">
      <w:bodyDiv w:val="1"/>
      <w:marLeft w:val="0"/>
      <w:marRight w:val="0"/>
      <w:marTop w:val="0"/>
      <w:marBottom w:val="0"/>
      <w:divBdr>
        <w:top w:val="none" w:sz="0" w:space="0" w:color="auto"/>
        <w:left w:val="none" w:sz="0" w:space="0" w:color="auto"/>
        <w:bottom w:val="none" w:sz="0" w:space="0" w:color="auto"/>
        <w:right w:val="none" w:sz="0" w:space="0" w:color="auto"/>
      </w:divBdr>
    </w:div>
    <w:div w:id="1644774916">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07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ondazionenazionalecommercialistit.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877</Words>
  <Characters>5003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7</cp:revision>
  <dcterms:created xsi:type="dcterms:W3CDTF">2020-11-21T09:53:00Z</dcterms:created>
  <dcterms:modified xsi:type="dcterms:W3CDTF">2020-11-23T14:03:00Z</dcterms:modified>
</cp:coreProperties>
</file>