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2C44" w14:textId="77777777" w:rsidR="0052277C" w:rsidRDefault="0052277C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83F19E" w14:textId="77777777" w:rsidR="00643871" w:rsidRDefault="00643871" w:rsidP="00764E6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983E3F" w14:textId="432E8A7F" w:rsidR="0007509B" w:rsidRPr="00764E63" w:rsidRDefault="00A25D50" w:rsidP="00764E6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E63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75C562D6" w14:textId="10DCA355" w:rsidR="0007509B" w:rsidRPr="00764E63" w:rsidRDefault="00FB6832" w:rsidP="00764E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E63">
        <w:rPr>
          <w:rFonts w:ascii="Arial" w:eastAsia="Times New Roman" w:hAnsi="Arial" w:cs="Arial"/>
          <w:b/>
          <w:bCs/>
          <w:caps/>
          <w:color w:val="9AADDC"/>
          <w:lang w:eastAsia="it-IT"/>
        </w:rPr>
        <w:br/>
      </w:r>
    </w:p>
    <w:p w14:paraId="334C7281" w14:textId="7E850AFD" w:rsidR="0007509B" w:rsidRPr="00764E63" w:rsidRDefault="00453973" w:rsidP="00764E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E63">
        <w:rPr>
          <w:rFonts w:ascii="Arial" w:hAnsi="Arial" w:cs="Arial"/>
          <w:b/>
          <w:bCs/>
          <w:sz w:val="24"/>
          <w:szCs w:val="24"/>
        </w:rPr>
        <w:t>EQUO COMPENSO, COMMERCIALISTI: “NO A PARAMETRI PER ASSOCIAZIONI NON ORDINISTICHE CHE SI RIFERISCONO ALLA MATERIA TRIBUTARIA”</w:t>
      </w:r>
    </w:p>
    <w:p w14:paraId="364B8A52" w14:textId="77777777" w:rsidR="00785D87" w:rsidRPr="00764E63" w:rsidRDefault="00785D87" w:rsidP="00764E6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CF3670" w14:textId="2A56881A" w:rsidR="0007702F" w:rsidRPr="00764E63" w:rsidRDefault="00785D87" w:rsidP="00764E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4E63">
        <w:rPr>
          <w:rFonts w:ascii="Arial" w:hAnsi="Arial" w:cs="Arial"/>
          <w:b/>
          <w:bCs/>
          <w:sz w:val="24"/>
          <w:szCs w:val="24"/>
        </w:rPr>
        <w:t>Lettera di de Nuccio a Urso e Bitonci</w:t>
      </w:r>
      <w:r w:rsidR="00307952" w:rsidRPr="00764E63">
        <w:rPr>
          <w:rFonts w:ascii="Arial" w:hAnsi="Arial" w:cs="Arial"/>
          <w:b/>
          <w:bCs/>
          <w:sz w:val="24"/>
          <w:szCs w:val="24"/>
        </w:rPr>
        <w:t xml:space="preserve">: “Per la </w:t>
      </w:r>
      <w:r w:rsidR="00F34D63" w:rsidRPr="00764E63">
        <w:rPr>
          <w:rFonts w:ascii="Arial" w:hAnsi="Arial" w:cs="Arial"/>
          <w:b/>
          <w:bCs/>
          <w:sz w:val="24"/>
          <w:szCs w:val="24"/>
        </w:rPr>
        <w:t>C</w:t>
      </w:r>
      <w:r w:rsidR="00307952" w:rsidRPr="00764E63">
        <w:rPr>
          <w:rFonts w:ascii="Arial" w:hAnsi="Arial" w:cs="Arial"/>
          <w:b/>
          <w:bCs/>
          <w:sz w:val="24"/>
          <w:szCs w:val="24"/>
        </w:rPr>
        <w:t>assazione le loro attività sono da considerarsi “di competenza specifica di una data professione” e concretizzano esercizio abusivo penalmente rilevante”</w:t>
      </w:r>
    </w:p>
    <w:p w14:paraId="2B229B67" w14:textId="77777777" w:rsidR="00785D87" w:rsidRPr="00764E63" w:rsidRDefault="00785D87" w:rsidP="00764E6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721BC6" w14:textId="53508D21" w:rsidR="00F34D63" w:rsidRPr="00764E63" w:rsidRDefault="0007509B" w:rsidP="00764E63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E63">
        <w:rPr>
          <w:rFonts w:ascii="Arial" w:hAnsi="Arial" w:cs="Arial"/>
          <w:i/>
          <w:iCs/>
          <w:sz w:val="24"/>
          <w:szCs w:val="24"/>
        </w:rPr>
        <w:t>Roma, 19 settembre 2023</w:t>
      </w:r>
      <w:r w:rsidRPr="00764E63">
        <w:rPr>
          <w:rFonts w:ascii="Arial" w:hAnsi="Arial" w:cs="Arial"/>
          <w:sz w:val="24"/>
          <w:szCs w:val="24"/>
        </w:rPr>
        <w:t xml:space="preserve"> – </w:t>
      </w:r>
      <w:r w:rsidR="00307952" w:rsidRPr="00764E63">
        <w:rPr>
          <w:rFonts w:ascii="Arial" w:hAnsi="Arial" w:cs="Arial"/>
          <w:b/>
          <w:bCs/>
          <w:sz w:val="24"/>
          <w:szCs w:val="24"/>
        </w:rPr>
        <w:t>Non consultare</w:t>
      </w:r>
      <w:r w:rsidR="00307952" w:rsidRPr="00764E63">
        <w:rPr>
          <w:rFonts w:ascii="Arial" w:hAnsi="Arial" w:cs="Arial"/>
          <w:sz w:val="24"/>
          <w:szCs w:val="24"/>
        </w:rPr>
        <w:t xml:space="preserve"> le </w:t>
      </w:r>
      <w:r w:rsidR="00307952" w:rsidRPr="00764E63">
        <w:rPr>
          <w:rFonts w:ascii="Arial" w:hAnsi="Arial" w:cs="Arial"/>
          <w:b/>
          <w:bCs/>
          <w:sz w:val="24"/>
          <w:szCs w:val="24"/>
        </w:rPr>
        <w:t>associazioni non ordinistiche</w:t>
      </w:r>
      <w:r w:rsidR="00F34D63" w:rsidRPr="00764E63">
        <w:rPr>
          <w:rFonts w:ascii="Arial" w:hAnsi="Arial" w:cs="Arial"/>
          <w:sz w:val="24"/>
          <w:szCs w:val="24"/>
        </w:rPr>
        <w:t xml:space="preserve"> che si riferiscono alla </w:t>
      </w:r>
      <w:r w:rsidR="00F34D63" w:rsidRPr="00764E63">
        <w:rPr>
          <w:rFonts w:ascii="Arial" w:hAnsi="Arial" w:cs="Arial"/>
          <w:b/>
          <w:bCs/>
          <w:sz w:val="24"/>
          <w:szCs w:val="24"/>
        </w:rPr>
        <w:t>materia tributaria</w:t>
      </w:r>
      <w:r w:rsidR="00F34D63" w:rsidRPr="00764E63">
        <w:rPr>
          <w:rFonts w:ascii="Arial" w:hAnsi="Arial" w:cs="Arial"/>
          <w:sz w:val="24"/>
          <w:szCs w:val="24"/>
        </w:rPr>
        <w:t xml:space="preserve"> per la emanazione del decreto che fissi per loro parametri di riferimento per l’equo compenso, dal momento che “esse </w:t>
      </w:r>
      <w:r w:rsidR="00F34D63" w:rsidRPr="00764E63">
        <w:rPr>
          <w:rFonts w:ascii="Arial" w:hAnsi="Arial" w:cs="Arial"/>
          <w:b/>
          <w:bCs/>
          <w:sz w:val="24"/>
          <w:szCs w:val="24"/>
        </w:rPr>
        <w:t>esercitano abusivamente la professione di esperto contabile</w:t>
      </w:r>
      <w:r w:rsidR="00F34D63" w:rsidRPr="00764E63">
        <w:rPr>
          <w:rFonts w:ascii="Arial" w:hAnsi="Arial" w:cs="Arial"/>
          <w:sz w:val="24"/>
          <w:szCs w:val="24"/>
        </w:rPr>
        <w:t xml:space="preserve">, come stabilito dalla Cassazione penale già nel 2012”. È quanto sostiene il presidente del Consiglio nazionale dei commercialisti, </w:t>
      </w:r>
      <w:r w:rsidR="00F34D63" w:rsidRPr="00764E63">
        <w:rPr>
          <w:rFonts w:ascii="Arial" w:hAnsi="Arial" w:cs="Arial"/>
          <w:b/>
          <w:bCs/>
          <w:sz w:val="24"/>
          <w:szCs w:val="24"/>
        </w:rPr>
        <w:t>Elbano de Nuccio</w:t>
      </w:r>
      <w:r w:rsidR="00F34D63" w:rsidRPr="00764E63">
        <w:rPr>
          <w:rFonts w:ascii="Arial" w:hAnsi="Arial" w:cs="Arial"/>
          <w:sz w:val="24"/>
          <w:szCs w:val="24"/>
        </w:rPr>
        <w:t xml:space="preserve">, che sul tema ha inviato oggi una missiva al Ministro delle Imprese e del Made in Italy, </w:t>
      </w:r>
      <w:r w:rsidR="00F34D63" w:rsidRPr="00764E63">
        <w:rPr>
          <w:rFonts w:ascii="Arial" w:hAnsi="Arial" w:cs="Arial"/>
          <w:b/>
          <w:bCs/>
          <w:sz w:val="24"/>
          <w:szCs w:val="24"/>
        </w:rPr>
        <w:t>Adolfo Urso</w:t>
      </w:r>
      <w:r w:rsidR="00F34D63" w:rsidRPr="00764E63">
        <w:rPr>
          <w:rFonts w:ascii="Arial" w:hAnsi="Arial" w:cs="Arial"/>
          <w:sz w:val="24"/>
          <w:szCs w:val="24"/>
        </w:rPr>
        <w:t xml:space="preserve"> e al sottosegretario </w:t>
      </w:r>
      <w:r w:rsidR="00F34D63" w:rsidRPr="00764E63">
        <w:rPr>
          <w:rFonts w:ascii="Arial" w:hAnsi="Arial" w:cs="Arial"/>
          <w:b/>
          <w:bCs/>
          <w:sz w:val="24"/>
          <w:szCs w:val="24"/>
        </w:rPr>
        <w:t xml:space="preserve">Massimo Bitonci. </w:t>
      </w:r>
      <w:r w:rsidR="00F34D63" w:rsidRPr="00764E63">
        <w:rPr>
          <w:rFonts w:ascii="Arial" w:hAnsi="Arial" w:cs="Arial"/>
          <w:sz w:val="24"/>
          <w:szCs w:val="24"/>
        </w:rPr>
        <w:t xml:space="preserve"> </w:t>
      </w:r>
      <w:r w:rsidR="00307952" w:rsidRPr="00764E63">
        <w:rPr>
          <w:rFonts w:ascii="Arial" w:hAnsi="Arial" w:cs="Arial"/>
          <w:sz w:val="24"/>
          <w:szCs w:val="24"/>
        </w:rPr>
        <w:t xml:space="preserve"> </w:t>
      </w:r>
    </w:p>
    <w:p w14:paraId="0EDDA45A" w14:textId="77777777" w:rsidR="00F34D63" w:rsidRPr="00764E63" w:rsidRDefault="00F34D63" w:rsidP="00764E63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5F5CDD6" w14:textId="5F01D2AF" w:rsidR="0007509B" w:rsidRPr="00764E63" w:rsidRDefault="0007509B" w:rsidP="00764E63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64E63">
        <w:rPr>
          <w:rFonts w:ascii="Arial" w:hAnsi="Arial" w:cs="Arial"/>
          <w:sz w:val="24"/>
          <w:szCs w:val="24"/>
        </w:rPr>
        <w:t>“La recente legge n. 49/2023, “</w:t>
      </w:r>
      <w:r w:rsidRPr="00764E63">
        <w:rPr>
          <w:rFonts w:ascii="Arial" w:hAnsi="Arial" w:cs="Arial"/>
          <w:b/>
          <w:bCs/>
          <w:sz w:val="24"/>
          <w:szCs w:val="24"/>
        </w:rPr>
        <w:t>Disposizioni in materia di equo compenso delle prestazioni professionali</w:t>
      </w:r>
      <w:r w:rsidRPr="00764E63">
        <w:rPr>
          <w:rFonts w:ascii="Arial" w:hAnsi="Arial" w:cs="Arial"/>
          <w:sz w:val="24"/>
          <w:szCs w:val="24"/>
        </w:rPr>
        <w:t>”</w:t>
      </w:r>
      <w:r w:rsidR="00F34D63" w:rsidRPr="00764E63">
        <w:rPr>
          <w:rFonts w:ascii="Arial" w:hAnsi="Arial" w:cs="Arial"/>
          <w:sz w:val="24"/>
          <w:szCs w:val="24"/>
        </w:rPr>
        <w:t xml:space="preserve"> – scrive de Nuccio </w:t>
      </w:r>
      <w:r w:rsidR="00764E63">
        <w:rPr>
          <w:rFonts w:ascii="Arial" w:hAnsi="Arial" w:cs="Arial"/>
          <w:sz w:val="24"/>
          <w:szCs w:val="24"/>
        </w:rPr>
        <w:t>–</w:t>
      </w:r>
      <w:r w:rsidR="00F34D63" w:rsidRPr="00764E63">
        <w:rPr>
          <w:rFonts w:ascii="Arial" w:hAnsi="Arial" w:cs="Arial"/>
          <w:sz w:val="24"/>
          <w:szCs w:val="24"/>
        </w:rPr>
        <w:t xml:space="preserve"> </w:t>
      </w:r>
      <w:r w:rsidRPr="00764E63">
        <w:rPr>
          <w:rFonts w:ascii="Arial" w:hAnsi="Arial" w:cs="Arial"/>
          <w:sz w:val="24"/>
          <w:szCs w:val="24"/>
        </w:rPr>
        <w:t xml:space="preserve">prescrive che in un determinato ambito di applicazione il compenso per le prestazioni rese dai professionisti iscritti in Ordini e Collegi sia </w:t>
      </w:r>
      <w:r w:rsidRPr="00764E63">
        <w:rPr>
          <w:rFonts w:ascii="Arial" w:hAnsi="Arial" w:cs="Arial"/>
          <w:b/>
          <w:bCs/>
          <w:sz w:val="24"/>
          <w:szCs w:val="24"/>
        </w:rPr>
        <w:t>conforme</w:t>
      </w:r>
      <w:r w:rsidRPr="00764E63">
        <w:rPr>
          <w:rFonts w:ascii="Arial" w:hAnsi="Arial" w:cs="Arial"/>
          <w:sz w:val="24"/>
          <w:szCs w:val="24"/>
        </w:rPr>
        <w:t xml:space="preserve"> ai compensi previsti dai </w:t>
      </w:r>
      <w:r w:rsidRPr="00764E63">
        <w:rPr>
          <w:rFonts w:ascii="Arial" w:hAnsi="Arial" w:cs="Arial"/>
          <w:b/>
          <w:bCs/>
          <w:sz w:val="24"/>
          <w:szCs w:val="24"/>
        </w:rPr>
        <w:t xml:space="preserve">parametri </w:t>
      </w:r>
      <w:r w:rsidRPr="00764E63">
        <w:rPr>
          <w:rFonts w:ascii="Arial" w:hAnsi="Arial" w:cs="Arial"/>
          <w:sz w:val="24"/>
          <w:szCs w:val="24"/>
        </w:rPr>
        <w:t xml:space="preserve">contenuti nei decreti ministeriali adottati ai sensi dell’art. 9, del DL 1/2012. Per coloro invece, che esercitano professioni individuate dalla Legge n. 4/2013, cioè coloro che </w:t>
      </w:r>
      <w:r w:rsidRPr="00764E63">
        <w:rPr>
          <w:rFonts w:ascii="Arial" w:hAnsi="Arial" w:cs="Arial"/>
          <w:b/>
          <w:bCs/>
          <w:sz w:val="24"/>
          <w:szCs w:val="24"/>
        </w:rPr>
        <w:t>non sono iscritti in Ordini e Collegi</w:t>
      </w:r>
      <w:r w:rsidR="00785D87" w:rsidRPr="00764E63">
        <w:rPr>
          <w:rFonts w:ascii="Arial" w:hAnsi="Arial" w:cs="Arial"/>
          <w:b/>
          <w:bCs/>
          <w:sz w:val="24"/>
          <w:szCs w:val="24"/>
        </w:rPr>
        <w:t>,</w:t>
      </w:r>
      <w:r w:rsidRPr="00764E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4E63">
        <w:rPr>
          <w:rFonts w:ascii="Arial" w:hAnsi="Arial" w:cs="Arial"/>
          <w:sz w:val="24"/>
          <w:szCs w:val="24"/>
        </w:rPr>
        <w:t xml:space="preserve">la citata legge 49 dispone che entro 60 giorni il Ministero delle Imprese e del Made in Italy (MIMIT) emani un apposito decreto “sentite le associazioni iscritte nell’elenco” previsto dalla medesima legge 4/2013. Tenuto conto che in tale elenco figurano iscritte dalla prima ora associazioni che si riferiscono alla </w:t>
      </w:r>
      <w:r w:rsidRPr="00764E63">
        <w:rPr>
          <w:rFonts w:ascii="Arial" w:hAnsi="Arial" w:cs="Arial"/>
          <w:b/>
          <w:bCs/>
          <w:sz w:val="24"/>
          <w:szCs w:val="24"/>
        </w:rPr>
        <w:t>materia tributaria</w:t>
      </w:r>
      <w:r w:rsidRPr="00764E63">
        <w:rPr>
          <w:rFonts w:ascii="Arial" w:hAnsi="Arial" w:cs="Arial"/>
          <w:sz w:val="24"/>
          <w:szCs w:val="24"/>
        </w:rPr>
        <w:t xml:space="preserve">, </w:t>
      </w:r>
      <w:r w:rsidRPr="00764E63">
        <w:rPr>
          <w:rFonts w:ascii="Arial" w:hAnsi="Arial" w:cs="Arial"/>
          <w:b/>
          <w:bCs/>
          <w:sz w:val="24"/>
          <w:szCs w:val="24"/>
        </w:rPr>
        <w:t>attività tipica dei Commercialisti</w:t>
      </w:r>
      <w:r w:rsidRPr="00764E63">
        <w:rPr>
          <w:rFonts w:ascii="Arial" w:hAnsi="Arial" w:cs="Arial"/>
          <w:sz w:val="24"/>
          <w:szCs w:val="24"/>
        </w:rPr>
        <w:t xml:space="preserve"> per i quali è già determinata l’entità dei compensi dai parametri ministeriali già citati, ci si chiede a cosa possa riferirsi qualsivoglia consultazione con tali associazioni laddove le </w:t>
      </w:r>
      <w:r w:rsidRPr="00764E63">
        <w:rPr>
          <w:rFonts w:ascii="Arial" w:hAnsi="Arial" w:cs="Arial"/>
          <w:b/>
          <w:bCs/>
          <w:sz w:val="24"/>
          <w:szCs w:val="24"/>
        </w:rPr>
        <w:t>attività di consulenza fiscale</w:t>
      </w:r>
      <w:r w:rsidRPr="00764E63">
        <w:rPr>
          <w:rFonts w:ascii="Arial" w:hAnsi="Arial" w:cs="Arial"/>
          <w:sz w:val="24"/>
          <w:szCs w:val="24"/>
        </w:rPr>
        <w:t xml:space="preserve"> </w:t>
      </w:r>
      <w:r w:rsidRPr="00764E63">
        <w:rPr>
          <w:rFonts w:ascii="Arial" w:hAnsi="Arial" w:cs="Arial"/>
          <w:b/>
          <w:bCs/>
          <w:sz w:val="24"/>
          <w:szCs w:val="24"/>
        </w:rPr>
        <w:t>non possono sovrapporsi</w:t>
      </w:r>
      <w:r w:rsidRPr="00764E63">
        <w:rPr>
          <w:rFonts w:ascii="Arial" w:hAnsi="Arial" w:cs="Arial"/>
          <w:sz w:val="24"/>
          <w:szCs w:val="24"/>
        </w:rPr>
        <w:t xml:space="preserve"> alle attività individuate di competenza specifica degli iscritti agli Albi dei Dottori Commercialisti e degli Esperti Contabili”. </w:t>
      </w:r>
    </w:p>
    <w:p w14:paraId="411255B8" w14:textId="77777777" w:rsidR="0007702F" w:rsidRPr="00764E63" w:rsidRDefault="0007702F" w:rsidP="00764E63">
      <w:pPr>
        <w:jc w:val="both"/>
        <w:rPr>
          <w:rFonts w:ascii="Arial" w:hAnsi="Arial" w:cs="Arial"/>
          <w:sz w:val="24"/>
          <w:szCs w:val="24"/>
        </w:rPr>
      </w:pPr>
    </w:p>
    <w:p w14:paraId="3D07E628" w14:textId="0AB7DCBE" w:rsidR="0007509B" w:rsidRDefault="0007702F" w:rsidP="00764E63">
      <w:pPr>
        <w:jc w:val="both"/>
        <w:rPr>
          <w:rFonts w:ascii="Arial" w:hAnsi="Arial" w:cs="Arial"/>
          <w:sz w:val="24"/>
          <w:szCs w:val="24"/>
        </w:rPr>
      </w:pPr>
      <w:r w:rsidRPr="00764E63">
        <w:rPr>
          <w:rFonts w:ascii="Arial" w:hAnsi="Arial" w:cs="Arial"/>
          <w:sz w:val="24"/>
          <w:szCs w:val="24"/>
        </w:rPr>
        <w:t xml:space="preserve">Nella missiva de Nuccio </w:t>
      </w:r>
      <w:r w:rsidR="0007509B" w:rsidRPr="00764E63">
        <w:rPr>
          <w:rFonts w:ascii="Arial" w:hAnsi="Arial" w:cs="Arial"/>
          <w:sz w:val="24"/>
          <w:szCs w:val="24"/>
        </w:rPr>
        <w:t>ricorda</w:t>
      </w:r>
      <w:r w:rsidRPr="00764E63">
        <w:rPr>
          <w:rFonts w:ascii="Arial" w:hAnsi="Arial" w:cs="Arial"/>
          <w:sz w:val="24"/>
          <w:szCs w:val="24"/>
        </w:rPr>
        <w:t xml:space="preserve"> infatti</w:t>
      </w:r>
      <w:r w:rsidR="0007509B" w:rsidRPr="00764E63">
        <w:rPr>
          <w:rFonts w:ascii="Arial" w:hAnsi="Arial" w:cs="Arial"/>
          <w:sz w:val="24"/>
          <w:szCs w:val="24"/>
        </w:rPr>
        <w:t xml:space="preserve"> come </w:t>
      </w:r>
      <w:r w:rsidRPr="00764E63">
        <w:rPr>
          <w:rFonts w:ascii="Arial" w:hAnsi="Arial" w:cs="Arial"/>
          <w:sz w:val="24"/>
          <w:szCs w:val="24"/>
        </w:rPr>
        <w:t>“</w:t>
      </w:r>
      <w:r w:rsidR="0007509B" w:rsidRPr="00764E63">
        <w:rPr>
          <w:rFonts w:ascii="Arial" w:hAnsi="Arial" w:cs="Arial"/>
          <w:sz w:val="24"/>
          <w:szCs w:val="24"/>
        </w:rPr>
        <w:t xml:space="preserve">le Sezioni Unite della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Cassazione penale</w:t>
      </w:r>
      <w:r w:rsidR="0007509B" w:rsidRPr="00764E63">
        <w:rPr>
          <w:rFonts w:ascii="Arial" w:hAnsi="Arial" w:cs="Arial"/>
          <w:sz w:val="24"/>
          <w:szCs w:val="24"/>
        </w:rPr>
        <w:t xml:space="preserve"> (Sent. 11545/2012) abbiano da tempo espresso in modo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chiaro e inequivocabile</w:t>
      </w:r>
      <w:r w:rsidR="0007509B" w:rsidRPr="00764E63">
        <w:rPr>
          <w:rFonts w:ascii="Arial" w:hAnsi="Arial" w:cs="Arial"/>
          <w:sz w:val="24"/>
          <w:szCs w:val="24"/>
        </w:rPr>
        <w:t xml:space="preserve"> che proprio le attività a cui tali associazioni vogliono far riferimento siano da considerarsi “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di competenza specifica di una data professione</w:t>
      </w:r>
      <w:r w:rsidR="0007509B" w:rsidRPr="00764E63">
        <w:rPr>
          <w:rFonts w:ascii="Arial" w:hAnsi="Arial" w:cs="Arial"/>
          <w:sz w:val="24"/>
          <w:szCs w:val="24"/>
        </w:rPr>
        <w:t xml:space="preserve">”, concretizzano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esercizio abusivo penalmente rilevante</w:t>
      </w:r>
      <w:r w:rsidR="0007509B" w:rsidRPr="00764E63">
        <w:rPr>
          <w:rFonts w:ascii="Arial" w:hAnsi="Arial" w:cs="Arial"/>
          <w:sz w:val="24"/>
          <w:szCs w:val="24"/>
        </w:rPr>
        <w:t xml:space="preserve"> ai sensi dell’art. 348 c.p. “allorché lo stesso compimento venga realizzato con modalità tali, per continuità, onerosità e (almeno minimale) organizzazione, da creare, in assenza di chiare indicazioni diverse, le oggettive apparenze di un’attività professionale svolta da soggetto regolarmente abilitato”. Applicando tale principio alla fattispecie specifica</w:t>
      </w:r>
      <w:r w:rsidRPr="00764E63">
        <w:rPr>
          <w:rFonts w:ascii="Arial" w:hAnsi="Arial" w:cs="Arial"/>
          <w:sz w:val="24"/>
          <w:szCs w:val="24"/>
        </w:rPr>
        <w:t xml:space="preserve"> – prosegue –</w:t>
      </w:r>
      <w:r w:rsidR="0007509B" w:rsidRPr="00764E63">
        <w:rPr>
          <w:rFonts w:ascii="Arial" w:hAnsi="Arial" w:cs="Arial"/>
          <w:sz w:val="24"/>
          <w:szCs w:val="24"/>
        </w:rPr>
        <w:t xml:space="preserve"> ovvero redazione di dichiarazioni fiscali, adempimenti di natura tributaria e tenuta della contabilità aziendale, ne desume che esse integrano il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reato di esercizio abusivo della professione di Esperto Contabile</w:t>
      </w:r>
      <w:r w:rsidRPr="00764E63">
        <w:rPr>
          <w:rFonts w:ascii="Arial" w:hAnsi="Arial" w:cs="Arial"/>
          <w:sz w:val="24"/>
          <w:szCs w:val="24"/>
        </w:rPr>
        <w:t>”</w:t>
      </w:r>
      <w:r w:rsidR="0007509B" w:rsidRPr="00764E63">
        <w:rPr>
          <w:rFonts w:ascii="Arial" w:hAnsi="Arial" w:cs="Arial"/>
          <w:sz w:val="24"/>
          <w:szCs w:val="24"/>
        </w:rPr>
        <w:t>.</w:t>
      </w:r>
    </w:p>
    <w:p w14:paraId="62B2292B" w14:textId="77777777" w:rsidR="00764E63" w:rsidRPr="00764E63" w:rsidRDefault="00764E63" w:rsidP="00764E63">
      <w:pPr>
        <w:jc w:val="both"/>
        <w:rPr>
          <w:rFonts w:ascii="Arial" w:hAnsi="Arial" w:cs="Arial"/>
          <w:sz w:val="24"/>
          <w:szCs w:val="24"/>
        </w:rPr>
      </w:pPr>
    </w:p>
    <w:p w14:paraId="731564B8" w14:textId="77777777" w:rsidR="0007509B" w:rsidRPr="00764E63" w:rsidRDefault="0007509B" w:rsidP="00764E63">
      <w:pPr>
        <w:jc w:val="both"/>
        <w:rPr>
          <w:rFonts w:ascii="Arial" w:hAnsi="Arial" w:cs="Arial"/>
          <w:sz w:val="24"/>
          <w:szCs w:val="24"/>
        </w:rPr>
      </w:pPr>
    </w:p>
    <w:p w14:paraId="16C5DF08" w14:textId="5C21990D" w:rsidR="0007509B" w:rsidRPr="00764E63" w:rsidRDefault="00785D87" w:rsidP="00764E63">
      <w:pPr>
        <w:jc w:val="both"/>
        <w:rPr>
          <w:rFonts w:ascii="Arial" w:hAnsi="Arial" w:cs="Arial"/>
          <w:sz w:val="24"/>
          <w:szCs w:val="24"/>
        </w:rPr>
      </w:pPr>
      <w:r w:rsidRPr="00764E63">
        <w:rPr>
          <w:rFonts w:ascii="Arial" w:hAnsi="Arial" w:cs="Arial"/>
          <w:sz w:val="24"/>
          <w:szCs w:val="24"/>
        </w:rPr>
        <w:t>Secondo il numero uno dei commercialisti è “</w:t>
      </w:r>
      <w:r w:rsidR="0007509B" w:rsidRPr="00764E63">
        <w:rPr>
          <w:rFonts w:ascii="Arial" w:hAnsi="Arial" w:cs="Arial"/>
          <w:sz w:val="24"/>
          <w:szCs w:val="24"/>
        </w:rPr>
        <w:t xml:space="preserve">doveroso precisare che lo stesso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Ministero delle Imprese e del Made in Italy (al tempo Ministero dello Sviluppo Economico</w:t>
      </w:r>
      <w:r w:rsidR="0007509B" w:rsidRPr="00764E63">
        <w:rPr>
          <w:rFonts w:ascii="Arial" w:hAnsi="Arial" w:cs="Arial"/>
          <w:sz w:val="24"/>
          <w:szCs w:val="24"/>
        </w:rPr>
        <w:t xml:space="preserve">), con la recente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Circolare del 24 marzo 2022</w:t>
      </w:r>
      <w:r w:rsidR="0007509B" w:rsidRPr="00764E63">
        <w:rPr>
          <w:rFonts w:ascii="Arial" w:hAnsi="Arial" w:cs="Arial"/>
          <w:sz w:val="24"/>
          <w:szCs w:val="24"/>
        </w:rPr>
        <w:t xml:space="preserve">, prot. 221, come già nella precedente n. 3708C del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1° ottobre 2018</w:t>
      </w:r>
      <w:r w:rsidR="0007509B" w:rsidRPr="00764E63">
        <w:rPr>
          <w:rFonts w:ascii="Arial" w:hAnsi="Arial" w:cs="Arial"/>
          <w:sz w:val="24"/>
          <w:szCs w:val="24"/>
        </w:rPr>
        <w:t xml:space="preserve">, si è sentito in dovere di precisare che “Sono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assimilate alle professioni escluse</w:t>
      </w:r>
      <w:r w:rsidR="0007509B" w:rsidRPr="00764E63">
        <w:rPr>
          <w:rFonts w:ascii="Arial" w:hAnsi="Arial" w:cs="Arial"/>
          <w:sz w:val="24"/>
          <w:szCs w:val="24"/>
        </w:rPr>
        <w:t xml:space="preserve"> (da quelle per le quali una associazione può chiedere l’iscrizione all’elenco) quelle attività professionali per le quali si rileva la presenza di requisiti obbligatori e di una Pubblica Autorità che, ai sensi di norme di legge, controlli la presenza di tali requisiti in capo ai soggetti esercenti l’attività professionale in questione”. È indubitabile </w:t>
      </w:r>
      <w:r w:rsidRPr="00764E63">
        <w:rPr>
          <w:rFonts w:ascii="Arial" w:hAnsi="Arial" w:cs="Arial"/>
          <w:sz w:val="24"/>
          <w:szCs w:val="24"/>
        </w:rPr>
        <w:t xml:space="preserve">– aggiunge </w:t>
      </w:r>
      <w:r w:rsidR="00764E63">
        <w:rPr>
          <w:rFonts w:ascii="Arial" w:hAnsi="Arial" w:cs="Arial"/>
          <w:sz w:val="24"/>
          <w:szCs w:val="24"/>
        </w:rPr>
        <w:t>–</w:t>
      </w:r>
      <w:r w:rsidRPr="00764E63">
        <w:rPr>
          <w:rFonts w:ascii="Arial" w:hAnsi="Arial" w:cs="Arial"/>
          <w:sz w:val="24"/>
          <w:szCs w:val="24"/>
        </w:rPr>
        <w:t xml:space="preserve"> </w:t>
      </w:r>
      <w:r w:rsidR="0007509B" w:rsidRPr="00764E63">
        <w:rPr>
          <w:rFonts w:ascii="Arial" w:hAnsi="Arial" w:cs="Arial"/>
          <w:sz w:val="24"/>
          <w:szCs w:val="24"/>
        </w:rPr>
        <w:t xml:space="preserve">che le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professioni</w:t>
      </w:r>
      <w:r w:rsidR="0007509B" w:rsidRPr="00764E63">
        <w:rPr>
          <w:rFonts w:ascii="Arial" w:hAnsi="Arial" w:cs="Arial"/>
          <w:sz w:val="24"/>
          <w:szCs w:val="24"/>
        </w:rPr>
        <w:t xml:space="preserve"> di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Dottore Commercialista e di Esperto Contabile</w:t>
      </w:r>
      <w:r w:rsidR="0007509B" w:rsidRPr="00764E63">
        <w:rPr>
          <w:rFonts w:ascii="Arial" w:hAnsi="Arial" w:cs="Arial"/>
          <w:sz w:val="24"/>
          <w:szCs w:val="24"/>
        </w:rPr>
        <w:t xml:space="preserve"> siano oggetto di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 xml:space="preserve">requisiti obbligatori </w:t>
      </w:r>
      <w:r w:rsidR="0007509B" w:rsidRPr="00764E63">
        <w:rPr>
          <w:rFonts w:ascii="Arial" w:hAnsi="Arial" w:cs="Arial"/>
          <w:sz w:val="24"/>
          <w:szCs w:val="24"/>
        </w:rPr>
        <w:t>di cui la Pubblica Autorità controlla la presenza, data l’obbligatorietà dell’Esame di Stato prescritto dalla Costituzione all’art. 33, comma 5</w:t>
      </w:r>
      <w:r w:rsidRPr="00764E63">
        <w:rPr>
          <w:rFonts w:ascii="Arial" w:hAnsi="Arial" w:cs="Arial"/>
          <w:sz w:val="24"/>
          <w:szCs w:val="24"/>
        </w:rPr>
        <w:t>”</w:t>
      </w:r>
      <w:r w:rsidR="0007509B" w:rsidRPr="00764E63">
        <w:rPr>
          <w:rFonts w:ascii="Arial" w:hAnsi="Arial" w:cs="Arial"/>
          <w:sz w:val="24"/>
          <w:szCs w:val="24"/>
        </w:rPr>
        <w:t>.</w:t>
      </w:r>
    </w:p>
    <w:p w14:paraId="4009F6DF" w14:textId="77777777" w:rsidR="0007509B" w:rsidRPr="00764E63" w:rsidRDefault="0007509B" w:rsidP="00764E63">
      <w:pPr>
        <w:jc w:val="both"/>
        <w:rPr>
          <w:rFonts w:ascii="Arial" w:hAnsi="Arial" w:cs="Arial"/>
          <w:sz w:val="24"/>
          <w:szCs w:val="24"/>
        </w:rPr>
      </w:pPr>
    </w:p>
    <w:p w14:paraId="2818FCEB" w14:textId="55AE74E0" w:rsidR="0007509B" w:rsidRPr="00764E63" w:rsidRDefault="00307952" w:rsidP="00764E63">
      <w:pPr>
        <w:jc w:val="both"/>
        <w:rPr>
          <w:rFonts w:ascii="Arial" w:hAnsi="Arial" w:cs="Arial"/>
          <w:sz w:val="24"/>
          <w:szCs w:val="24"/>
        </w:rPr>
      </w:pPr>
      <w:r w:rsidRPr="00764E63">
        <w:rPr>
          <w:rFonts w:ascii="Arial" w:hAnsi="Arial" w:cs="Arial"/>
          <w:sz w:val="24"/>
          <w:szCs w:val="24"/>
        </w:rPr>
        <w:t>“</w:t>
      </w:r>
      <w:r w:rsidR="0007509B" w:rsidRPr="00764E63">
        <w:rPr>
          <w:rFonts w:ascii="Arial" w:hAnsi="Arial" w:cs="Arial"/>
          <w:sz w:val="24"/>
          <w:szCs w:val="24"/>
        </w:rPr>
        <w:t xml:space="preserve">La sommatoria della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consolidata giurisprudenza penale</w:t>
      </w:r>
      <w:r w:rsidR="0007509B" w:rsidRPr="00764E63">
        <w:rPr>
          <w:rFonts w:ascii="Arial" w:hAnsi="Arial" w:cs="Arial"/>
          <w:sz w:val="24"/>
          <w:szCs w:val="24"/>
        </w:rPr>
        <w:t xml:space="preserve"> con le precisazioni doverose del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Ministero competente</w:t>
      </w:r>
      <w:r w:rsidR="0007509B" w:rsidRPr="00764E63">
        <w:rPr>
          <w:rFonts w:ascii="Arial" w:hAnsi="Arial" w:cs="Arial"/>
          <w:sz w:val="24"/>
          <w:szCs w:val="24"/>
        </w:rPr>
        <w:t xml:space="preserve"> </w:t>
      </w:r>
      <w:r w:rsidRPr="00764E63">
        <w:rPr>
          <w:rFonts w:ascii="Arial" w:hAnsi="Arial" w:cs="Arial"/>
          <w:sz w:val="24"/>
          <w:szCs w:val="24"/>
        </w:rPr>
        <w:t xml:space="preserve">– conclude de Nuccio </w:t>
      </w:r>
      <w:r w:rsidR="00764E63">
        <w:rPr>
          <w:rFonts w:ascii="Arial" w:hAnsi="Arial" w:cs="Arial"/>
          <w:sz w:val="24"/>
          <w:szCs w:val="24"/>
        </w:rPr>
        <w:t>–</w:t>
      </w:r>
      <w:r w:rsidRPr="00764E63">
        <w:rPr>
          <w:rFonts w:ascii="Arial" w:hAnsi="Arial" w:cs="Arial"/>
          <w:sz w:val="24"/>
          <w:szCs w:val="24"/>
        </w:rPr>
        <w:t xml:space="preserve"> </w:t>
      </w:r>
      <w:r w:rsidR="0007509B" w:rsidRPr="00764E63">
        <w:rPr>
          <w:rFonts w:ascii="Arial" w:hAnsi="Arial" w:cs="Arial"/>
          <w:sz w:val="24"/>
          <w:szCs w:val="24"/>
        </w:rPr>
        <w:t xml:space="preserve">offre un quadro sufficiente a ritenere che le stesse associazioni che si riferiscono ad attività in materia tributaria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 xml:space="preserve">non troverebbero </w:t>
      </w:r>
      <w:r w:rsidR="0007509B" w:rsidRPr="00764E63">
        <w:rPr>
          <w:rFonts w:ascii="Arial" w:hAnsi="Arial" w:cs="Arial"/>
          <w:sz w:val="24"/>
          <w:szCs w:val="24"/>
        </w:rPr>
        <w:t xml:space="preserve">oggi ragionevolmente l’assenso alla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iscrizione nell’elenco di cui alla legge 4/2013</w:t>
      </w:r>
      <w:r w:rsidR="0007509B" w:rsidRPr="00764E63">
        <w:rPr>
          <w:rFonts w:ascii="Arial" w:hAnsi="Arial" w:cs="Arial"/>
          <w:sz w:val="24"/>
          <w:szCs w:val="24"/>
        </w:rPr>
        <w:t>.</w:t>
      </w:r>
      <w:r w:rsidRPr="00764E63">
        <w:rPr>
          <w:rFonts w:ascii="Arial" w:hAnsi="Arial" w:cs="Arial"/>
          <w:sz w:val="24"/>
          <w:szCs w:val="24"/>
        </w:rPr>
        <w:t xml:space="preserve"> </w:t>
      </w:r>
      <w:r w:rsidR="0007509B" w:rsidRPr="00764E63">
        <w:rPr>
          <w:rFonts w:ascii="Arial" w:hAnsi="Arial" w:cs="Arial"/>
          <w:sz w:val="24"/>
          <w:szCs w:val="24"/>
        </w:rPr>
        <w:t xml:space="preserve">Il quesito posto, dunque, in ordine alle consultazioni di cui in avvio di questa nota, trova quindi maggior ragione di porsi laddove si ipotizzi addirittura di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regolare parametri di riferimento</w:t>
      </w:r>
      <w:r w:rsidR="0007509B" w:rsidRPr="00764E63">
        <w:rPr>
          <w:rFonts w:ascii="Arial" w:hAnsi="Arial" w:cs="Arial"/>
          <w:sz w:val="24"/>
          <w:szCs w:val="24"/>
        </w:rPr>
        <w:t xml:space="preserve"> per attività che hanno già una </w:t>
      </w:r>
      <w:r w:rsidR="0007509B" w:rsidRPr="00764E63">
        <w:rPr>
          <w:rFonts w:ascii="Arial" w:hAnsi="Arial" w:cs="Arial"/>
          <w:b/>
          <w:bCs/>
          <w:sz w:val="24"/>
          <w:szCs w:val="24"/>
        </w:rPr>
        <w:t>regolamentazione parametrica in disposizioni normative riservate ai Dottori Commercialisti ed agli Esperti Contabili</w:t>
      </w:r>
      <w:r w:rsidRPr="00764E63">
        <w:rPr>
          <w:rFonts w:ascii="Arial" w:hAnsi="Arial" w:cs="Arial"/>
          <w:sz w:val="24"/>
          <w:szCs w:val="24"/>
        </w:rPr>
        <w:t>”</w:t>
      </w:r>
      <w:r w:rsidR="00D55757" w:rsidRPr="00764E63">
        <w:rPr>
          <w:rFonts w:ascii="Arial" w:hAnsi="Arial" w:cs="Arial"/>
          <w:sz w:val="24"/>
          <w:szCs w:val="24"/>
        </w:rPr>
        <w:t>.</w:t>
      </w:r>
    </w:p>
    <w:p w14:paraId="2B9448BF" w14:textId="61AB8562" w:rsidR="00486CCC" w:rsidRPr="00764E63" w:rsidRDefault="00486CCC" w:rsidP="00764E63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5DD48283" w14:textId="77777777" w:rsidR="0007702F" w:rsidRPr="00764E63" w:rsidRDefault="0007702F" w:rsidP="00764E63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</w:p>
    <w:sectPr w:rsidR="0007702F" w:rsidRPr="00764E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C16B" w14:textId="77777777" w:rsidR="00634182" w:rsidRDefault="00634182" w:rsidP="00A25D50">
      <w:r>
        <w:separator/>
      </w:r>
    </w:p>
  </w:endnote>
  <w:endnote w:type="continuationSeparator" w:id="0">
    <w:p w14:paraId="25479254" w14:textId="77777777" w:rsidR="00634182" w:rsidRDefault="00634182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B231" w14:textId="77777777" w:rsidR="00634182" w:rsidRDefault="00634182" w:rsidP="00A25D50">
      <w:r>
        <w:separator/>
      </w:r>
    </w:p>
  </w:footnote>
  <w:footnote w:type="continuationSeparator" w:id="0">
    <w:p w14:paraId="393F0E3B" w14:textId="77777777" w:rsidR="00634182" w:rsidRDefault="00634182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D50"/>
    <w:rsid w:val="00007C23"/>
    <w:rsid w:val="00012E93"/>
    <w:rsid w:val="00027BE3"/>
    <w:rsid w:val="00041437"/>
    <w:rsid w:val="00051B2D"/>
    <w:rsid w:val="000555C2"/>
    <w:rsid w:val="00055C12"/>
    <w:rsid w:val="00071CF9"/>
    <w:rsid w:val="00074F9D"/>
    <w:rsid w:val="0007509B"/>
    <w:rsid w:val="0007702F"/>
    <w:rsid w:val="00080E29"/>
    <w:rsid w:val="0009108B"/>
    <w:rsid w:val="000A3C95"/>
    <w:rsid w:val="000A3D02"/>
    <w:rsid w:val="000B23B8"/>
    <w:rsid w:val="000C4581"/>
    <w:rsid w:val="000D1140"/>
    <w:rsid w:val="000D46D2"/>
    <w:rsid w:val="000F1CA8"/>
    <w:rsid w:val="000F659E"/>
    <w:rsid w:val="001072C8"/>
    <w:rsid w:val="00111CF5"/>
    <w:rsid w:val="00127A00"/>
    <w:rsid w:val="00136CF7"/>
    <w:rsid w:val="001447D0"/>
    <w:rsid w:val="00164C51"/>
    <w:rsid w:val="00177F55"/>
    <w:rsid w:val="0018410F"/>
    <w:rsid w:val="001A0044"/>
    <w:rsid w:val="001C4D6B"/>
    <w:rsid w:val="001D3F66"/>
    <w:rsid w:val="001D48AE"/>
    <w:rsid w:val="001E0307"/>
    <w:rsid w:val="001E2682"/>
    <w:rsid w:val="001E4EF0"/>
    <w:rsid w:val="001F21E4"/>
    <w:rsid w:val="001F399E"/>
    <w:rsid w:val="0020469F"/>
    <w:rsid w:val="00204F62"/>
    <w:rsid w:val="00216437"/>
    <w:rsid w:val="0022126A"/>
    <w:rsid w:val="0023378D"/>
    <w:rsid w:val="00237EC9"/>
    <w:rsid w:val="00243892"/>
    <w:rsid w:val="00243F31"/>
    <w:rsid w:val="002647CB"/>
    <w:rsid w:val="00267E62"/>
    <w:rsid w:val="00277377"/>
    <w:rsid w:val="002A143A"/>
    <w:rsid w:val="002A46B8"/>
    <w:rsid w:val="002A74FE"/>
    <w:rsid w:val="002B687E"/>
    <w:rsid w:val="002B7D2B"/>
    <w:rsid w:val="002F0117"/>
    <w:rsid w:val="003002C5"/>
    <w:rsid w:val="00307952"/>
    <w:rsid w:val="0031113D"/>
    <w:rsid w:val="00333A0F"/>
    <w:rsid w:val="0034189F"/>
    <w:rsid w:val="00347274"/>
    <w:rsid w:val="00356418"/>
    <w:rsid w:val="00365441"/>
    <w:rsid w:val="003771AB"/>
    <w:rsid w:val="00382DCB"/>
    <w:rsid w:val="00394F50"/>
    <w:rsid w:val="003A2DAE"/>
    <w:rsid w:val="003A52D9"/>
    <w:rsid w:val="003A643A"/>
    <w:rsid w:val="003A73E6"/>
    <w:rsid w:val="003B37B2"/>
    <w:rsid w:val="003E3AB2"/>
    <w:rsid w:val="00407826"/>
    <w:rsid w:val="004328C7"/>
    <w:rsid w:val="00446E08"/>
    <w:rsid w:val="00453973"/>
    <w:rsid w:val="00463C7D"/>
    <w:rsid w:val="004812F0"/>
    <w:rsid w:val="00486CCC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61CB7"/>
    <w:rsid w:val="005B64A0"/>
    <w:rsid w:val="006150FC"/>
    <w:rsid w:val="00634182"/>
    <w:rsid w:val="00643871"/>
    <w:rsid w:val="00645F87"/>
    <w:rsid w:val="006559BC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13B57"/>
    <w:rsid w:val="00733833"/>
    <w:rsid w:val="00740F1F"/>
    <w:rsid w:val="007410F9"/>
    <w:rsid w:val="007451A9"/>
    <w:rsid w:val="00763CE4"/>
    <w:rsid w:val="00764E63"/>
    <w:rsid w:val="00772CD8"/>
    <w:rsid w:val="00777FC6"/>
    <w:rsid w:val="00780F0B"/>
    <w:rsid w:val="007840AA"/>
    <w:rsid w:val="00785D87"/>
    <w:rsid w:val="007C05AE"/>
    <w:rsid w:val="007C2A85"/>
    <w:rsid w:val="007E7258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69B1"/>
    <w:rsid w:val="00901181"/>
    <w:rsid w:val="00904442"/>
    <w:rsid w:val="009357A4"/>
    <w:rsid w:val="009359D8"/>
    <w:rsid w:val="00937915"/>
    <w:rsid w:val="009558A6"/>
    <w:rsid w:val="009679A1"/>
    <w:rsid w:val="009726DC"/>
    <w:rsid w:val="009A61B8"/>
    <w:rsid w:val="009B6359"/>
    <w:rsid w:val="009D18CC"/>
    <w:rsid w:val="009D2456"/>
    <w:rsid w:val="00A04E4C"/>
    <w:rsid w:val="00A2361E"/>
    <w:rsid w:val="00A23A10"/>
    <w:rsid w:val="00A25D50"/>
    <w:rsid w:val="00A36955"/>
    <w:rsid w:val="00A41325"/>
    <w:rsid w:val="00A547B5"/>
    <w:rsid w:val="00A618D3"/>
    <w:rsid w:val="00A67C3B"/>
    <w:rsid w:val="00A74AA6"/>
    <w:rsid w:val="00A854AA"/>
    <w:rsid w:val="00AA28F5"/>
    <w:rsid w:val="00AE049F"/>
    <w:rsid w:val="00AE0BB1"/>
    <w:rsid w:val="00AE2F64"/>
    <w:rsid w:val="00AE2FF1"/>
    <w:rsid w:val="00B154FD"/>
    <w:rsid w:val="00B2654F"/>
    <w:rsid w:val="00B278C1"/>
    <w:rsid w:val="00B56245"/>
    <w:rsid w:val="00B623C7"/>
    <w:rsid w:val="00B93E34"/>
    <w:rsid w:val="00BA19DE"/>
    <w:rsid w:val="00BB3259"/>
    <w:rsid w:val="00BC0331"/>
    <w:rsid w:val="00BC683F"/>
    <w:rsid w:val="00BD6FD1"/>
    <w:rsid w:val="00BE5CB4"/>
    <w:rsid w:val="00BF6083"/>
    <w:rsid w:val="00C04C6A"/>
    <w:rsid w:val="00C11198"/>
    <w:rsid w:val="00C17FC9"/>
    <w:rsid w:val="00C20913"/>
    <w:rsid w:val="00C25278"/>
    <w:rsid w:val="00C27872"/>
    <w:rsid w:val="00C3730F"/>
    <w:rsid w:val="00C410B5"/>
    <w:rsid w:val="00C66A20"/>
    <w:rsid w:val="00C703AA"/>
    <w:rsid w:val="00C76BEE"/>
    <w:rsid w:val="00C80173"/>
    <w:rsid w:val="00C82382"/>
    <w:rsid w:val="00C84922"/>
    <w:rsid w:val="00C87780"/>
    <w:rsid w:val="00C974AB"/>
    <w:rsid w:val="00CC6E36"/>
    <w:rsid w:val="00CC7EDA"/>
    <w:rsid w:val="00D31EDC"/>
    <w:rsid w:val="00D55757"/>
    <w:rsid w:val="00D626C3"/>
    <w:rsid w:val="00D66F96"/>
    <w:rsid w:val="00D742E0"/>
    <w:rsid w:val="00D8383C"/>
    <w:rsid w:val="00D86F1A"/>
    <w:rsid w:val="00DA0ED2"/>
    <w:rsid w:val="00DB0771"/>
    <w:rsid w:val="00DC6813"/>
    <w:rsid w:val="00DE7244"/>
    <w:rsid w:val="00E4100D"/>
    <w:rsid w:val="00E80398"/>
    <w:rsid w:val="00EC1A2D"/>
    <w:rsid w:val="00ED55FF"/>
    <w:rsid w:val="00EE2F69"/>
    <w:rsid w:val="00F011E8"/>
    <w:rsid w:val="00F156C0"/>
    <w:rsid w:val="00F21C61"/>
    <w:rsid w:val="00F34D63"/>
    <w:rsid w:val="00F45169"/>
    <w:rsid w:val="00F53C83"/>
    <w:rsid w:val="00F54D2A"/>
    <w:rsid w:val="00F5789E"/>
    <w:rsid w:val="00F70F2A"/>
    <w:rsid w:val="00F737D3"/>
    <w:rsid w:val="00F8774F"/>
    <w:rsid w:val="00F910CC"/>
    <w:rsid w:val="00F970FF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2023-08-31T13:14:00Z</cp:lastPrinted>
  <dcterms:created xsi:type="dcterms:W3CDTF">2023-09-19T10:35:00Z</dcterms:created>
  <dcterms:modified xsi:type="dcterms:W3CDTF">2023-09-25T12:43:00Z</dcterms:modified>
</cp:coreProperties>
</file>