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11E14" w14:textId="77777777" w:rsidR="000E13DA" w:rsidRDefault="000E13DA" w:rsidP="00EB5D3D">
      <w:pPr>
        <w:keepNext/>
        <w:keepLines/>
        <w:spacing w:after="0" w:line="240" w:lineRule="auto"/>
        <w:jc w:val="center"/>
        <w:outlineLvl w:val="0"/>
        <w:rPr>
          <w:rFonts w:ascii="Arial" w:eastAsia="Book Antiqua" w:hAnsi="Arial" w:cs="Arial"/>
          <w:b/>
          <w:color w:val="000000"/>
          <w:sz w:val="23"/>
          <w:szCs w:val="23"/>
          <w:lang w:eastAsia="it-IT"/>
        </w:rPr>
      </w:pPr>
    </w:p>
    <w:p w14:paraId="7AF413C4" w14:textId="77777777" w:rsidR="000E13DA" w:rsidRDefault="000E13DA" w:rsidP="00EB5D3D">
      <w:pPr>
        <w:keepNext/>
        <w:keepLines/>
        <w:spacing w:after="0" w:line="240" w:lineRule="auto"/>
        <w:jc w:val="center"/>
        <w:outlineLvl w:val="0"/>
        <w:rPr>
          <w:rFonts w:ascii="Arial" w:eastAsia="Book Antiqua" w:hAnsi="Arial" w:cs="Arial"/>
          <w:b/>
          <w:color w:val="000000"/>
          <w:sz w:val="23"/>
          <w:szCs w:val="23"/>
          <w:lang w:eastAsia="it-IT"/>
        </w:rPr>
      </w:pPr>
    </w:p>
    <w:p w14:paraId="7C70C609" w14:textId="6E8B8ED9" w:rsidR="00D439A3" w:rsidRPr="000E13DA" w:rsidRDefault="00D439A3" w:rsidP="00EB5D3D">
      <w:pPr>
        <w:keepNext/>
        <w:keepLines/>
        <w:spacing w:after="0" w:line="240" w:lineRule="auto"/>
        <w:jc w:val="center"/>
        <w:outlineLvl w:val="0"/>
        <w:rPr>
          <w:rFonts w:ascii="Arial" w:eastAsia="Book Antiqua" w:hAnsi="Arial" w:cs="Arial"/>
          <w:b/>
          <w:color w:val="000000"/>
          <w:sz w:val="23"/>
          <w:szCs w:val="23"/>
          <w:u w:val="single"/>
          <w:lang w:eastAsia="it-IT"/>
        </w:rPr>
      </w:pPr>
      <w:r w:rsidRPr="000E13DA">
        <w:rPr>
          <w:rFonts w:ascii="Arial" w:eastAsia="Book Antiqua" w:hAnsi="Arial" w:cs="Arial"/>
          <w:b/>
          <w:color w:val="000000"/>
          <w:sz w:val="23"/>
          <w:szCs w:val="23"/>
          <w:u w:val="single"/>
          <w:lang w:eastAsia="it-IT"/>
        </w:rPr>
        <w:t>COMUNICATO STAMPA</w:t>
      </w:r>
    </w:p>
    <w:p w14:paraId="4205561D" w14:textId="77777777" w:rsidR="00D439A3" w:rsidRPr="004F6DDE" w:rsidRDefault="00D439A3" w:rsidP="003641C6">
      <w:pPr>
        <w:keepNext/>
        <w:keepLines/>
        <w:spacing w:after="0" w:line="240" w:lineRule="auto"/>
        <w:jc w:val="both"/>
        <w:outlineLvl w:val="0"/>
        <w:rPr>
          <w:rFonts w:ascii="Arial" w:eastAsia="Book Antiqua" w:hAnsi="Arial" w:cs="Arial"/>
          <w:bCs/>
          <w:i/>
          <w:iCs/>
          <w:color w:val="000000"/>
          <w:sz w:val="23"/>
          <w:szCs w:val="23"/>
          <w:lang w:eastAsia="it-IT"/>
        </w:rPr>
      </w:pPr>
    </w:p>
    <w:p w14:paraId="6F57FA54" w14:textId="07A7B09A" w:rsidR="00D439A3" w:rsidRPr="004F6DDE" w:rsidRDefault="00EA232A" w:rsidP="003641C6">
      <w:pPr>
        <w:keepNext/>
        <w:keepLines/>
        <w:spacing w:after="0" w:line="240" w:lineRule="auto"/>
        <w:jc w:val="both"/>
        <w:outlineLvl w:val="0"/>
        <w:rPr>
          <w:rFonts w:ascii="Arial" w:eastAsia="Book Antiqua" w:hAnsi="Arial" w:cs="Arial"/>
          <w:b/>
          <w:color w:val="000000"/>
          <w:sz w:val="23"/>
          <w:szCs w:val="23"/>
          <w:lang w:eastAsia="it-IT"/>
        </w:rPr>
      </w:pPr>
      <w:r>
        <w:rPr>
          <w:rFonts w:ascii="Arial" w:eastAsia="Book Antiqua" w:hAnsi="Arial" w:cs="Arial"/>
          <w:b/>
          <w:color w:val="000000"/>
          <w:sz w:val="23"/>
          <w:szCs w:val="23"/>
          <w:lang w:eastAsia="it-IT"/>
        </w:rPr>
        <w:t>P</w:t>
      </w:r>
      <w:r w:rsidRPr="004F6DDE">
        <w:rPr>
          <w:rFonts w:ascii="Arial" w:eastAsia="Book Antiqua" w:hAnsi="Arial" w:cs="Arial"/>
          <w:b/>
          <w:color w:val="000000"/>
          <w:sz w:val="23"/>
          <w:szCs w:val="23"/>
          <w:lang w:eastAsia="it-IT"/>
        </w:rPr>
        <w:t>ROCESSO TRIBUTARIO, COMMERCIALISTI: “FASE DI RECLAMO E MEDIAZIONE DAVANTI A UN ORGANO TERZO E INDIPENDENTE PER LITI NON SUPERIORI A 50MILA EURO”</w:t>
      </w:r>
    </w:p>
    <w:p w14:paraId="22802D7F" w14:textId="282F002B" w:rsidR="00D439A3" w:rsidRPr="004F6DDE" w:rsidRDefault="003641C6" w:rsidP="003641C6">
      <w:pPr>
        <w:keepNext/>
        <w:keepLines/>
        <w:spacing w:after="0" w:line="240" w:lineRule="auto"/>
        <w:jc w:val="both"/>
        <w:outlineLvl w:val="0"/>
        <w:rPr>
          <w:rFonts w:ascii="Arial" w:eastAsia="Book Antiqua" w:hAnsi="Arial" w:cs="Arial"/>
          <w:b/>
          <w:color w:val="000000"/>
          <w:sz w:val="23"/>
          <w:szCs w:val="23"/>
          <w:lang w:eastAsia="it-IT"/>
        </w:rPr>
      </w:pPr>
      <w:r w:rsidRPr="004F6DDE">
        <w:rPr>
          <w:rFonts w:ascii="Arial" w:eastAsia="Book Antiqua" w:hAnsi="Arial" w:cs="Arial"/>
          <w:b/>
          <w:color w:val="000000"/>
          <w:sz w:val="23"/>
          <w:szCs w:val="23"/>
          <w:lang w:eastAsia="it-IT"/>
        </w:rPr>
        <w:t>La proposta del Consiglio Nazionale durante l’audizione odierna dinanzi alla Commissione interministeriale per la riforma della giustizia tributaria</w:t>
      </w:r>
    </w:p>
    <w:p w14:paraId="787A237C" w14:textId="77777777" w:rsidR="00D439A3" w:rsidRPr="004F6DDE" w:rsidRDefault="00D439A3" w:rsidP="003641C6">
      <w:pPr>
        <w:keepNext/>
        <w:keepLines/>
        <w:spacing w:after="0" w:line="240" w:lineRule="auto"/>
        <w:jc w:val="both"/>
        <w:outlineLvl w:val="0"/>
        <w:rPr>
          <w:rFonts w:ascii="Arial" w:eastAsia="Book Antiqua" w:hAnsi="Arial" w:cs="Arial"/>
          <w:bCs/>
          <w:i/>
          <w:iCs/>
          <w:color w:val="000000"/>
          <w:sz w:val="23"/>
          <w:szCs w:val="23"/>
          <w:lang w:eastAsia="it-IT"/>
        </w:rPr>
      </w:pPr>
    </w:p>
    <w:p w14:paraId="06A66236" w14:textId="77777777" w:rsidR="00D439A3" w:rsidRPr="004F6DDE" w:rsidRDefault="00D439A3" w:rsidP="003641C6">
      <w:pPr>
        <w:keepNext/>
        <w:keepLines/>
        <w:spacing w:after="0" w:line="240" w:lineRule="auto"/>
        <w:jc w:val="both"/>
        <w:outlineLvl w:val="0"/>
        <w:rPr>
          <w:rFonts w:ascii="Arial" w:eastAsia="Book Antiqua" w:hAnsi="Arial" w:cs="Arial"/>
          <w:bCs/>
          <w:i/>
          <w:iCs/>
          <w:color w:val="000000"/>
          <w:sz w:val="23"/>
          <w:szCs w:val="23"/>
          <w:lang w:eastAsia="it-IT"/>
        </w:rPr>
      </w:pPr>
    </w:p>
    <w:p w14:paraId="65B62B22" w14:textId="51BB85E5" w:rsidR="00C607F6" w:rsidRPr="004F6DDE" w:rsidRDefault="00D439A3" w:rsidP="003641C6">
      <w:pPr>
        <w:spacing w:after="0" w:line="240" w:lineRule="auto"/>
        <w:jc w:val="both"/>
        <w:rPr>
          <w:rFonts w:ascii="Arial" w:eastAsia="Book Antiqua" w:hAnsi="Arial" w:cs="Arial"/>
          <w:bCs/>
          <w:color w:val="000000"/>
          <w:sz w:val="23"/>
          <w:szCs w:val="23"/>
          <w:lang w:eastAsia="it-IT"/>
        </w:rPr>
      </w:pPr>
      <w:r w:rsidRPr="004F6DDE">
        <w:rPr>
          <w:rFonts w:ascii="Arial" w:eastAsia="Book Antiqua" w:hAnsi="Arial" w:cs="Arial"/>
          <w:bCs/>
          <w:i/>
          <w:iCs/>
          <w:color w:val="000000"/>
          <w:sz w:val="23"/>
          <w:szCs w:val="23"/>
          <w:lang w:eastAsia="it-IT"/>
        </w:rPr>
        <w:t>Roma, 19 maggio 2021</w:t>
      </w:r>
      <w:r w:rsidRPr="004F6DDE">
        <w:rPr>
          <w:rFonts w:ascii="Arial" w:eastAsia="Book Antiqua" w:hAnsi="Arial" w:cs="Arial"/>
          <w:bCs/>
          <w:color w:val="000000"/>
          <w:sz w:val="23"/>
          <w:szCs w:val="23"/>
          <w:lang w:eastAsia="it-IT"/>
        </w:rPr>
        <w:t xml:space="preserve"> – </w:t>
      </w:r>
      <w:r w:rsidR="00C607F6" w:rsidRPr="004F6DDE">
        <w:rPr>
          <w:rFonts w:ascii="Arial" w:eastAsia="Book Antiqua" w:hAnsi="Arial" w:cs="Arial"/>
          <w:bCs/>
          <w:color w:val="000000"/>
          <w:sz w:val="23"/>
          <w:szCs w:val="23"/>
          <w:lang w:eastAsia="it-IT"/>
        </w:rPr>
        <w:t>“T</w:t>
      </w:r>
      <w:r w:rsidR="00C607F6" w:rsidRPr="00753D78">
        <w:rPr>
          <w:rFonts w:ascii="Arial" w:eastAsia="Book Antiqua" w:hAnsi="Arial" w:cs="Arial"/>
          <w:color w:val="000000"/>
          <w:sz w:val="23"/>
          <w:szCs w:val="23"/>
          <w:u w:color="000000"/>
          <w:lang w:eastAsia="it-IT"/>
        </w:rPr>
        <w:t xml:space="preserve">rasferire la </w:t>
      </w:r>
      <w:r w:rsidR="00C607F6" w:rsidRPr="00753D78">
        <w:rPr>
          <w:rFonts w:ascii="Arial" w:eastAsia="Book Antiqua" w:hAnsi="Arial" w:cs="Arial"/>
          <w:b/>
          <w:bCs/>
          <w:color w:val="000000"/>
          <w:sz w:val="23"/>
          <w:szCs w:val="23"/>
          <w:u w:color="000000"/>
          <w:lang w:eastAsia="it-IT"/>
        </w:rPr>
        <w:t>fase di reclamo</w:t>
      </w:r>
      <w:r w:rsidR="00C607F6" w:rsidRPr="00EB5D3D">
        <w:rPr>
          <w:rFonts w:ascii="Arial" w:eastAsia="Book Antiqua" w:hAnsi="Arial" w:cs="Arial"/>
          <w:b/>
          <w:bCs/>
          <w:color w:val="000000"/>
          <w:sz w:val="23"/>
          <w:szCs w:val="23"/>
          <w:u w:color="000000"/>
          <w:lang w:eastAsia="it-IT"/>
        </w:rPr>
        <w:t xml:space="preserve"> e </w:t>
      </w:r>
      <w:r w:rsidR="00C607F6" w:rsidRPr="00753D78">
        <w:rPr>
          <w:rFonts w:ascii="Arial" w:eastAsia="Book Antiqua" w:hAnsi="Arial" w:cs="Arial"/>
          <w:b/>
          <w:bCs/>
          <w:color w:val="000000"/>
          <w:sz w:val="23"/>
          <w:szCs w:val="23"/>
          <w:u w:color="000000"/>
          <w:lang w:eastAsia="it-IT"/>
        </w:rPr>
        <w:t>mediazione</w:t>
      </w:r>
      <w:r w:rsidR="00C607F6" w:rsidRPr="004F6DDE">
        <w:rPr>
          <w:rFonts w:ascii="Arial" w:eastAsia="Book Antiqua" w:hAnsi="Arial" w:cs="Arial"/>
          <w:color w:val="000000"/>
          <w:sz w:val="23"/>
          <w:szCs w:val="23"/>
          <w:u w:color="000000"/>
          <w:lang w:eastAsia="it-IT"/>
        </w:rPr>
        <w:t xml:space="preserve"> </w:t>
      </w:r>
      <w:r w:rsidR="003641C6" w:rsidRPr="004F6DDE">
        <w:rPr>
          <w:rFonts w:ascii="Arial" w:eastAsia="Book Antiqua" w:hAnsi="Arial" w:cs="Arial"/>
          <w:color w:val="000000"/>
          <w:sz w:val="23"/>
          <w:szCs w:val="23"/>
          <w:u w:color="000000"/>
          <w:lang w:eastAsia="it-IT"/>
        </w:rPr>
        <w:t xml:space="preserve">del processo tributario </w:t>
      </w:r>
      <w:r w:rsidR="003641C6"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dinanzi ad un </w:t>
      </w:r>
      <w:r w:rsidR="003641C6" w:rsidRPr="00753D78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>organo terzo</w:t>
      </w:r>
      <w:r w:rsidR="003641C6" w:rsidRPr="00EB5D3D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 xml:space="preserve"> </w:t>
      </w:r>
      <w:r w:rsidR="003641C6" w:rsidRPr="00753D78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>e indipendente</w:t>
      </w:r>
      <w:r w:rsidR="003641C6"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rispetto alle parti in causa</w:t>
      </w:r>
      <w:r w:rsidR="003641C6" w:rsidRPr="004F6DDE">
        <w:rPr>
          <w:rFonts w:ascii="Arial" w:eastAsia="Book Antiqua" w:hAnsi="Arial" w:cs="Arial"/>
          <w:color w:val="000000"/>
          <w:sz w:val="23"/>
          <w:szCs w:val="23"/>
          <w:u w:color="000000"/>
          <w:lang w:eastAsia="it-IT"/>
        </w:rPr>
        <w:t xml:space="preserve"> </w:t>
      </w:r>
      <w:r w:rsidR="00C607F6" w:rsidRPr="00753D78">
        <w:rPr>
          <w:rFonts w:ascii="Arial" w:eastAsia="Book Antiqua" w:hAnsi="Arial" w:cs="Arial"/>
          <w:color w:val="000000"/>
          <w:sz w:val="23"/>
          <w:szCs w:val="23"/>
          <w:u w:color="000000"/>
          <w:lang w:eastAsia="it-IT"/>
        </w:rPr>
        <w:t xml:space="preserve">per le liti di </w:t>
      </w:r>
      <w:r w:rsidR="00C607F6" w:rsidRPr="00753D78">
        <w:rPr>
          <w:rFonts w:ascii="Arial" w:eastAsia="Book Antiqua" w:hAnsi="Arial" w:cs="Arial"/>
          <w:b/>
          <w:bCs/>
          <w:color w:val="000000"/>
          <w:sz w:val="23"/>
          <w:szCs w:val="23"/>
          <w:u w:color="000000"/>
          <w:lang w:eastAsia="it-IT"/>
        </w:rPr>
        <w:t>valore non</w:t>
      </w:r>
      <w:r w:rsidR="00C607F6" w:rsidRPr="00753D78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 xml:space="preserve"> superiore a </w:t>
      </w:r>
      <w:r w:rsidR="003641C6" w:rsidRPr="00EB5D3D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>50</w:t>
      </w:r>
      <w:r w:rsidR="00C607F6" w:rsidRPr="00753D78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>mila euro</w:t>
      </w:r>
      <w:r w:rsidR="00C607F6" w:rsidRPr="004F6DDE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”. È una delle proposte formulate oggi dai rappresentanti </w:t>
      </w:r>
      <w:r w:rsidRPr="004F6DDE">
        <w:rPr>
          <w:rFonts w:ascii="Arial" w:eastAsia="Book Antiqua" w:hAnsi="Arial" w:cs="Arial"/>
          <w:bCs/>
          <w:color w:val="000000"/>
          <w:sz w:val="23"/>
          <w:szCs w:val="23"/>
          <w:lang w:eastAsia="it-IT"/>
        </w:rPr>
        <w:t xml:space="preserve">del Consiglio </w:t>
      </w:r>
      <w:r w:rsidR="00EB5D3D">
        <w:rPr>
          <w:rFonts w:ascii="Arial" w:eastAsia="Book Antiqua" w:hAnsi="Arial" w:cs="Arial"/>
          <w:bCs/>
          <w:color w:val="000000"/>
          <w:sz w:val="23"/>
          <w:szCs w:val="23"/>
          <w:lang w:eastAsia="it-IT"/>
        </w:rPr>
        <w:t>N</w:t>
      </w:r>
      <w:r w:rsidRPr="004F6DDE">
        <w:rPr>
          <w:rFonts w:ascii="Arial" w:eastAsia="Book Antiqua" w:hAnsi="Arial" w:cs="Arial"/>
          <w:bCs/>
          <w:color w:val="000000"/>
          <w:sz w:val="23"/>
          <w:szCs w:val="23"/>
          <w:lang w:eastAsia="it-IT"/>
        </w:rPr>
        <w:t xml:space="preserve">azionale dei </w:t>
      </w:r>
      <w:r w:rsidR="00EB5D3D">
        <w:rPr>
          <w:rFonts w:ascii="Arial" w:eastAsia="Book Antiqua" w:hAnsi="Arial" w:cs="Arial"/>
          <w:bCs/>
          <w:color w:val="000000"/>
          <w:sz w:val="23"/>
          <w:szCs w:val="23"/>
          <w:lang w:eastAsia="it-IT"/>
        </w:rPr>
        <w:t>D</w:t>
      </w:r>
      <w:r w:rsidRPr="004F6DDE">
        <w:rPr>
          <w:rFonts w:ascii="Arial" w:eastAsia="Book Antiqua" w:hAnsi="Arial" w:cs="Arial"/>
          <w:bCs/>
          <w:color w:val="000000"/>
          <w:sz w:val="23"/>
          <w:szCs w:val="23"/>
          <w:lang w:eastAsia="it-IT"/>
        </w:rPr>
        <w:t xml:space="preserve">ottori </w:t>
      </w:r>
      <w:r w:rsidR="00EB5D3D">
        <w:rPr>
          <w:rFonts w:ascii="Arial" w:eastAsia="Book Antiqua" w:hAnsi="Arial" w:cs="Arial"/>
          <w:bCs/>
          <w:color w:val="000000"/>
          <w:sz w:val="23"/>
          <w:szCs w:val="23"/>
          <w:lang w:eastAsia="it-IT"/>
        </w:rPr>
        <w:t>C</w:t>
      </w:r>
      <w:r w:rsidRPr="004F6DDE">
        <w:rPr>
          <w:rFonts w:ascii="Arial" w:eastAsia="Book Antiqua" w:hAnsi="Arial" w:cs="Arial"/>
          <w:bCs/>
          <w:color w:val="000000"/>
          <w:sz w:val="23"/>
          <w:szCs w:val="23"/>
          <w:lang w:eastAsia="it-IT"/>
        </w:rPr>
        <w:t xml:space="preserve">ommercialisti e degli </w:t>
      </w:r>
      <w:r w:rsidR="00EB5D3D">
        <w:rPr>
          <w:rFonts w:ascii="Arial" w:eastAsia="Book Antiqua" w:hAnsi="Arial" w:cs="Arial"/>
          <w:bCs/>
          <w:color w:val="000000"/>
          <w:sz w:val="23"/>
          <w:szCs w:val="23"/>
          <w:lang w:eastAsia="it-IT"/>
        </w:rPr>
        <w:t>E</w:t>
      </w:r>
      <w:r w:rsidRPr="004F6DDE">
        <w:rPr>
          <w:rFonts w:ascii="Arial" w:eastAsia="Book Antiqua" w:hAnsi="Arial" w:cs="Arial"/>
          <w:bCs/>
          <w:color w:val="000000"/>
          <w:sz w:val="23"/>
          <w:szCs w:val="23"/>
          <w:lang w:eastAsia="it-IT"/>
        </w:rPr>
        <w:t xml:space="preserve">sperti </w:t>
      </w:r>
      <w:r w:rsidR="00EB5D3D">
        <w:rPr>
          <w:rFonts w:ascii="Arial" w:eastAsia="Book Antiqua" w:hAnsi="Arial" w:cs="Arial"/>
          <w:bCs/>
          <w:color w:val="000000"/>
          <w:sz w:val="23"/>
          <w:szCs w:val="23"/>
          <w:lang w:eastAsia="it-IT"/>
        </w:rPr>
        <w:t>C</w:t>
      </w:r>
      <w:r w:rsidRPr="004F6DDE">
        <w:rPr>
          <w:rFonts w:ascii="Arial" w:eastAsia="Book Antiqua" w:hAnsi="Arial" w:cs="Arial"/>
          <w:bCs/>
          <w:color w:val="000000"/>
          <w:sz w:val="23"/>
          <w:szCs w:val="23"/>
          <w:lang w:eastAsia="it-IT"/>
        </w:rPr>
        <w:t xml:space="preserve">ontabili </w:t>
      </w:r>
      <w:r w:rsidR="00C607F6" w:rsidRPr="004F6DDE">
        <w:rPr>
          <w:rFonts w:ascii="Arial" w:eastAsia="Book Antiqua" w:hAnsi="Arial" w:cs="Arial"/>
          <w:bCs/>
          <w:color w:val="000000"/>
          <w:sz w:val="23"/>
          <w:szCs w:val="23"/>
          <w:lang w:eastAsia="it-IT"/>
        </w:rPr>
        <w:t xml:space="preserve">durante l’audizione </w:t>
      </w:r>
      <w:r w:rsidRPr="004F6DDE">
        <w:rPr>
          <w:rFonts w:ascii="Arial" w:eastAsia="Book Antiqua" w:hAnsi="Arial" w:cs="Arial"/>
          <w:bCs/>
          <w:color w:val="000000"/>
          <w:sz w:val="23"/>
          <w:szCs w:val="23"/>
          <w:lang w:eastAsia="it-IT"/>
        </w:rPr>
        <w:t xml:space="preserve">dinanzi alla </w:t>
      </w:r>
      <w:r w:rsidR="004F78E3" w:rsidRPr="004F6DDE">
        <w:rPr>
          <w:rFonts w:ascii="Arial" w:eastAsia="Book Antiqua" w:hAnsi="Arial" w:cs="Arial"/>
          <w:bCs/>
          <w:color w:val="000000"/>
          <w:sz w:val="23"/>
          <w:szCs w:val="23"/>
          <w:lang w:eastAsia="it-IT"/>
        </w:rPr>
        <w:t>C</w:t>
      </w:r>
      <w:r w:rsidRPr="004F6DDE">
        <w:rPr>
          <w:rFonts w:ascii="Arial" w:eastAsia="Book Antiqua" w:hAnsi="Arial" w:cs="Arial"/>
          <w:bCs/>
          <w:color w:val="000000"/>
          <w:sz w:val="23"/>
          <w:szCs w:val="23"/>
          <w:lang w:eastAsia="it-IT"/>
        </w:rPr>
        <w:t>ommissione interministeriale per la riforma della giustizia tributaria</w:t>
      </w:r>
      <w:r w:rsidR="00A73737" w:rsidRPr="004F6DDE">
        <w:rPr>
          <w:rFonts w:ascii="Arial" w:eastAsia="Book Antiqua" w:hAnsi="Arial" w:cs="Arial"/>
          <w:bCs/>
          <w:color w:val="000000"/>
          <w:sz w:val="23"/>
          <w:szCs w:val="23"/>
          <w:lang w:eastAsia="it-IT"/>
        </w:rPr>
        <w:t>.</w:t>
      </w:r>
    </w:p>
    <w:p w14:paraId="048227BC" w14:textId="77777777" w:rsidR="00C607F6" w:rsidRPr="004F6DDE" w:rsidRDefault="00C607F6" w:rsidP="003641C6">
      <w:pPr>
        <w:spacing w:after="0" w:line="240" w:lineRule="auto"/>
        <w:jc w:val="both"/>
        <w:rPr>
          <w:rFonts w:ascii="Arial" w:eastAsia="Book Antiqua" w:hAnsi="Arial" w:cs="Arial"/>
          <w:bCs/>
          <w:color w:val="000000"/>
          <w:sz w:val="23"/>
          <w:szCs w:val="23"/>
          <w:lang w:eastAsia="it-IT"/>
        </w:rPr>
      </w:pPr>
    </w:p>
    <w:p w14:paraId="0E219855" w14:textId="45270BEB" w:rsidR="00D439A3" w:rsidRPr="004F6DDE" w:rsidRDefault="003641C6" w:rsidP="003641C6">
      <w:pPr>
        <w:spacing w:after="0" w:line="240" w:lineRule="auto"/>
        <w:jc w:val="both"/>
        <w:rPr>
          <w:rFonts w:ascii="Arial" w:eastAsia="Book Antiqua" w:hAnsi="Arial" w:cs="Arial"/>
          <w:b/>
          <w:color w:val="000000"/>
          <w:sz w:val="23"/>
          <w:szCs w:val="23"/>
          <w:lang w:eastAsia="it-IT"/>
        </w:rPr>
      </w:pPr>
      <w:r w:rsidRPr="004F6DDE">
        <w:rPr>
          <w:rFonts w:ascii="Arial" w:eastAsia="Book Antiqua" w:hAnsi="Arial" w:cs="Arial"/>
          <w:bCs/>
          <w:color w:val="000000"/>
          <w:sz w:val="23"/>
          <w:szCs w:val="23"/>
          <w:lang w:eastAsia="it-IT"/>
        </w:rPr>
        <w:t xml:space="preserve">“In particolare – hanno affermato i rappresentanti del Consiglio </w:t>
      </w:r>
      <w:r w:rsidR="00EB5D3D">
        <w:rPr>
          <w:rFonts w:ascii="Arial" w:eastAsia="Book Antiqua" w:hAnsi="Arial" w:cs="Arial"/>
          <w:bCs/>
          <w:color w:val="000000"/>
          <w:sz w:val="23"/>
          <w:szCs w:val="23"/>
          <w:lang w:eastAsia="it-IT"/>
        </w:rPr>
        <w:t>N</w:t>
      </w:r>
      <w:r w:rsidRPr="004F6DDE">
        <w:rPr>
          <w:rFonts w:ascii="Arial" w:eastAsia="Book Antiqua" w:hAnsi="Arial" w:cs="Arial"/>
          <w:bCs/>
          <w:color w:val="000000"/>
          <w:sz w:val="23"/>
          <w:szCs w:val="23"/>
          <w:lang w:eastAsia="it-IT"/>
        </w:rPr>
        <w:t>azionale –, proponiamo un</w:t>
      </w:r>
      <w:r w:rsidR="00C607F6"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</w:t>
      </w:r>
      <w:r w:rsidR="00C607F6" w:rsidRPr="00753D78">
        <w:rPr>
          <w:rFonts w:ascii="Arial" w:eastAsia="Book Antiqua" w:hAnsi="Arial" w:cs="Arial"/>
          <w:b/>
          <w:bCs/>
          <w:color w:val="000000"/>
          <w:sz w:val="23"/>
          <w:szCs w:val="23"/>
          <w:u w:color="000000"/>
          <w:lang w:eastAsia="it-IT"/>
        </w:rPr>
        <w:t>organo monocratico</w:t>
      </w:r>
      <w:r w:rsidR="00C607F6"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per le </w:t>
      </w:r>
      <w:r w:rsidR="00C607F6" w:rsidRPr="00753D78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 xml:space="preserve">liti fino a </w:t>
      </w:r>
      <w:r w:rsidR="003647FC" w:rsidRPr="004F6DDE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>3m</w:t>
      </w:r>
      <w:r w:rsidR="00C607F6" w:rsidRPr="00753D78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>ila euro</w:t>
      </w:r>
      <w:r w:rsidR="00C607F6"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e un </w:t>
      </w:r>
      <w:r w:rsidR="00C607F6" w:rsidRPr="00753D78">
        <w:rPr>
          <w:rFonts w:ascii="Arial" w:eastAsia="Book Antiqua" w:hAnsi="Arial" w:cs="Arial"/>
          <w:b/>
          <w:bCs/>
          <w:color w:val="000000"/>
          <w:sz w:val="23"/>
          <w:szCs w:val="23"/>
          <w:u w:color="000000"/>
          <w:lang w:eastAsia="it-IT"/>
        </w:rPr>
        <w:t>organo collegiale</w:t>
      </w:r>
      <w:r w:rsidR="00C607F6"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per le liti di valore superiore </w:t>
      </w:r>
      <w:r w:rsidR="00C607F6" w:rsidRPr="00753D78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 xml:space="preserve">fino a </w:t>
      </w:r>
      <w:r w:rsidR="003647FC" w:rsidRPr="004F6DDE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>50</w:t>
      </w:r>
      <w:r w:rsidR="00C607F6" w:rsidRPr="00753D78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>mila euro</w:t>
      </w:r>
      <w:r w:rsidR="00C607F6"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, composto da un giudice tributario cessato dal servizio e da due componenti nominati sulla base delle loro competenze tecniche, rispettivamente, dall’amministrazione finanziaria attraverso gli organi di vertice e </w:t>
      </w:r>
      <w:r w:rsidR="00C607F6" w:rsidRPr="00753D78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>dai Consigli nazionali degli avvocati e dei dottori commercialisti e degli esperti contabili</w:t>
      </w:r>
      <w:r w:rsidR="00C607F6"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>, selezionati in base a una procedura pubblica per titoli e che abbiano una qualificata esperienza nella materia tributaria di durata almeno decennale</w:t>
      </w:r>
      <w:r w:rsidRPr="004F6DDE">
        <w:rPr>
          <w:rFonts w:ascii="Arial" w:eastAsia="Book Antiqua" w:hAnsi="Arial" w:cs="Arial"/>
          <w:color w:val="000000"/>
          <w:sz w:val="23"/>
          <w:szCs w:val="23"/>
          <w:lang w:eastAsia="it-IT"/>
        </w:rPr>
        <w:t>”.</w:t>
      </w:r>
    </w:p>
    <w:p w14:paraId="0A638336" w14:textId="77777777" w:rsidR="00D439A3" w:rsidRPr="004F6DDE" w:rsidRDefault="00D439A3" w:rsidP="003641C6">
      <w:pPr>
        <w:keepNext/>
        <w:keepLines/>
        <w:spacing w:after="0" w:line="240" w:lineRule="auto"/>
        <w:jc w:val="both"/>
        <w:outlineLvl w:val="0"/>
        <w:rPr>
          <w:rFonts w:ascii="Arial" w:eastAsia="Book Antiqua" w:hAnsi="Arial" w:cs="Arial"/>
          <w:b/>
          <w:color w:val="000000"/>
          <w:sz w:val="23"/>
          <w:szCs w:val="23"/>
          <w:lang w:eastAsia="it-IT"/>
        </w:rPr>
      </w:pPr>
    </w:p>
    <w:p w14:paraId="2A4B0616" w14:textId="1A4A315D" w:rsidR="00A73737" w:rsidRPr="004F6DDE" w:rsidRDefault="00A73737" w:rsidP="003641C6">
      <w:pPr>
        <w:keepNext/>
        <w:keepLines/>
        <w:spacing w:after="0" w:line="240" w:lineRule="auto"/>
        <w:jc w:val="both"/>
        <w:outlineLvl w:val="0"/>
        <w:rPr>
          <w:rFonts w:ascii="Arial" w:hAnsi="Arial" w:cs="Arial"/>
          <w:sz w:val="23"/>
          <w:szCs w:val="23"/>
        </w:rPr>
      </w:pPr>
      <w:r w:rsidRPr="004F6DDE">
        <w:rPr>
          <w:rFonts w:ascii="Arial" w:hAnsi="Arial" w:cs="Arial"/>
          <w:sz w:val="23"/>
          <w:szCs w:val="23"/>
        </w:rPr>
        <w:t>I</w:t>
      </w:r>
      <w:r w:rsidR="00A030B5"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>n conformità a quanto previsto dal Piano Nazionale di Ripresa e Resilienza</w:t>
      </w:r>
      <w:r w:rsidR="00A030B5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(PNRR)</w:t>
      </w:r>
      <w:r w:rsidR="00A030B5" w:rsidRPr="004F6DDE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, </w:t>
      </w:r>
      <w:r w:rsidR="00A030B5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i </w:t>
      </w:r>
      <w:r w:rsidRPr="004F6DDE">
        <w:rPr>
          <w:rFonts w:ascii="Arial" w:hAnsi="Arial" w:cs="Arial"/>
          <w:sz w:val="23"/>
          <w:szCs w:val="23"/>
        </w:rPr>
        <w:t>commercialisti hanno anche avanzato proposte per</w:t>
      </w:r>
      <w:r w:rsidR="005F0B12" w:rsidRPr="004F6DDE">
        <w:rPr>
          <w:rFonts w:ascii="Arial" w:hAnsi="Arial" w:cs="Arial"/>
          <w:sz w:val="23"/>
          <w:szCs w:val="23"/>
        </w:rPr>
        <w:t xml:space="preserve"> lo </w:t>
      </w:r>
      <w:r w:rsidR="005F0B12" w:rsidRPr="00F76A27">
        <w:rPr>
          <w:rFonts w:ascii="Arial" w:hAnsi="Arial" w:cs="Arial"/>
          <w:b/>
          <w:bCs/>
          <w:sz w:val="23"/>
          <w:szCs w:val="23"/>
        </w:rPr>
        <w:t>smaltimento dell’ingente arretrato</w:t>
      </w:r>
      <w:r w:rsidR="005F0B12" w:rsidRPr="004F6DDE">
        <w:rPr>
          <w:rFonts w:ascii="Arial" w:hAnsi="Arial" w:cs="Arial"/>
          <w:sz w:val="23"/>
          <w:szCs w:val="23"/>
        </w:rPr>
        <w:t xml:space="preserve"> che si verifica nel terzo grado di giudizio presso la </w:t>
      </w:r>
      <w:r w:rsidR="005F0B12" w:rsidRPr="00F76A27">
        <w:rPr>
          <w:rFonts w:ascii="Arial" w:hAnsi="Arial" w:cs="Arial"/>
          <w:b/>
          <w:bCs/>
          <w:sz w:val="23"/>
          <w:szCs w:val="23"/>
        </w:rPr>
        <w:t>Corte di Cassazione</w:t>
      </w:r>
      <w:r w:rsidR="005F0B12" w:rsidRPr="004F6DDE">
        <w:rPr>
          <w:rFonts w:ascii="Arial" w:hAnsi="Arial" w:cs="Arial"/>
          <w:sz w:val="23"/>
          <w:szCs w:val="23"/>
        </w:rPr>
        <w:t>, che rappresenta il ver</w:t>
      </w:r>
      <w:r w:rsidRPr="004F6DDE">
        <w:rPr>
          <w:rFonts w:ascii="Arial" w:hAnsi="Arial" w:cs="Arial"/>
          <w:sz w:val="23"/>
          <w:szCs w:val="23"/>
        </w:rPr>
        <w:t xml:space="preserve">o </w:t>
      </w:r>
      <w:r w:rsidR="00F76A27">
        <w:rPr>
          <w:rFonts w:ascii="Arial" w:hAnsi="Arial" w:cs="Arial"/>
          <w:sz w:val="23"/>
          <w:szCs w:val="23"/>
        </w:rPr>
        <w:t xml:space="preserve">“collo </w:t>
      </w:r>
      <w:r w:rsidRPr="004F6DDE">
        <w:rPr>
          <w:rFonts w:ascii="Arial" w:hAnsi="Arial" w:cs="Arial"/>
          <w:sz w:val="23"/>
          <w:szCs w:val="23"/>
        </w:rPr>
        <w:t xml:space="preserve">di bottiglia” della </w:t>
      </w:r>
      <w:r w:rsidR="005F0B12" w:rsidRPr="004F6DDE">
        <w:rPr>
          <w:rFonts w:ascii="Arial" w:hAnsi="Arial" w:cs="Arial"/>
          <w:sz w:val="23"/>
          <w:szCs w:val="23"/>
        </w:rPr>
        <w:t>g</w:t>
      </w:r>
      <w:r w:rsidRPr="004F6DDE">
        <w:rPr>
          <w:rFonts w:ascii="Arial" w:hAnsi="Arial" w:cs="Arial"/>
          <w:sz w:val="23"/>
          <w:szCs w:val="23"/>
        </w:rPr>
        <w:t>iustizia tributaria</w:t>
      </w:r>
      <w:r w:rsidR="005F0B12" w:rsidRPr="004F6DDE">
        <w:rPr>
          <w:rFonts w:ascii="Arial" w:hAnsi="Arial" w:cs="Arial"/>
          <w:sz w:val="23"/>
          <w:szCs w:val="23"/>
        </w:rPr>
        <w:t xml:space="preserve"> perché </w:t>
      </w:r>
      <w:r w:rsidRPr="004F6DDE">
        <w:rPr>
          <w:rFonts w:ascii="Arial" w:hAnsi="Arial" w:cs="Arial"/>
          <w:sz w:val="23"/>
          <w:szCs w:val="23"/>
        </w:rPr>
        <w:t xml:space="preserve">allunga </w:t>
      </w:r>
      <w:r w:rsidR="005F0B12" w:rsidRPr="004F6DDE">
        <w:rPr>
          <w:rFonts w:ascii="Arial" w:hAnsi="Arial" w:cs="Arial"/>
          <w:sz w:val="23"/>
          <w:szCs w:val="23"/>
        </w:rPr>
        <w:t>eccessivamente</w:t>
      </w:r>
      <w:r w:rsidRPr="004F6DDE">
        <w:rPr>
          <w:rFonts w:ascii="Arial" w:hAnsi="Arial" w:cs="Arial"/>
          <w:sz w:val="23"/>
          <w:szCs w:val="23"/>
        </w:rPr>
        <w:t xml:space="preserve"> i tempi per ottenere una sentenza definitiva</w:t>
      </w:r>
      <w:r w:rsidR="005F0B12" w:rsidRPr="004F6DDE">
        <w:rPr>
          <w:rFonts w:ascii="Arial" w:hAnsi="Arial" w:cs="Arial"/>
          <w:sz w:val="23"/>
          <w:szCs w:val="23"/>
        </w:rPr>
        <w:t>.</w:t>
      </w:r>
    </w:p>
    <w:p w14:paraId="63857619" w14:textId="77777777" w:rsidR="00A73737" w:rsidRPr="004F6DDE" w:rsidRDefault="00A73737" w:rsidP="003641C6">
      <w:pPr>
        <w:keepNext/>
        <w:keepLines/>
        <w:spacing w:after="0" w:line="240" w:lineRule="auto"/>
        <w:jc w:val="both"/>
        <w:outlineLvl w:val="0"/>
        <w:rPr>
          <w:rFonts w:ascii="Arial" w:hAnsi="Arial" w:cs="Arial"/>
          <w:sz w:val="23"/>
          <w:szCs w:val="23"/>
        </w:rPr>
      </w:pPr>
    </w:p>
    <w:p w14:paraId="482C4588" w14:textId="3196ECFD" w:rsidR="00753D78" w:rsidRPr="00EB5D3D" w:rsidRDefault="00A73737" w:rsidP="00A73737">
      <w:pPr>
        <w:keepNext/>
        <w:keepLines/>
        <w:spacing w:after="0" w:line="240" w:lineRule="auto"/>
        <w:jc w:val="both"/>
        <w:outlineLvl w:val="0"/>
        <w:rPr>
          <w:rFonts w:ascii="Arial" w:eastAsia="Book Antiqua" w:hAnsi="Arial" w:cs="Arial"/>
          <w:color w:val="000000"/>
          <w:sz w:val="23"/>
          <w:szCs w:val="23"/>
          <w:u w:color="000000"/>
          <w:lang w:eastAsia="it-IT"/>
        </w:rPr>
      </w:pPr>
      <w:r w:rsidRPr="004F6DDE">
        <w:rPr>
          <w:rFonts w:ascii="Arial" w:hAnsi="Arial" w:cs="Arial"/>
          <w:sz w:val="23"/>
          <w:szCs w:val="23"/>
        </w:rPr>
        <w:t>“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>Per quanto riguarda lo smaltimento dell’arretrato presso la Suprema Corte</w:t>
      </w:r>
      <w:r w:rsidR="009545F5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</w:t>
      </w:r>
      <w:r w:rsidRPr="00EB5D3D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– hanno affermato </w:t>
      </w:r>
      <w:r w:rsidR="009545F5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i commercialisti </w:t>
      </w:r>
      <w:r w:rsidRPr="00EB5D3D">
        <w:rPr>
          <w:rFonts w:ascii="Arial" w:eastAsia="Book Antiqua" w:hAnsi="Arial" w:cs="Arial"/>
          <w:color w:val="000000"/>
          <w:sz w:val="23"/>
          <w:szCs w:val="23"/>
          <w:lang w:eastAsia="it-IT"/>
        </w:rPr>
        <w:t>– è necessario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prevedere il </w:t>
      </w:r>
      <w:r w:rsidRPr="00753D78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>rafforzamento delle dotazioni di personale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e un intervento, mediante adeguati incentivi economici, per il personale ausiliario. Si potrebbe </w:t>
      </w:r>
      <w:r w:rsidR="009545F5">
        <w:rPr>
          <w:rFonts w:ascii="Arial" w:eastAsia="Book Antiqua" w:hAnsi="Arial" w:cs="Arial"/>
          <w:color w:val="000000"/>
          <w:sz w:val="23"/>
          <w:szCs w:val="23"/>
          <w:lang w:eastAsia="it-IT"/>
        </w:rPr>
        <w:t>non solo</w:t>
      </w:r>
      <w:r w:rsidRPr="00EB5D3D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introdurre il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</w:t>
      </w:r>
      <w:r w:rsidRPr="00753D78">
        <w:rPr>
          <w:rFonts w:ascii="Arial" w:eastAsia="Book Antiqua" w:hAnsi="Arial" w:cs="Arial"/>
          <w:color w:val="000000"/>
          <w:sz w:val="23"/>
          <w:szCs w:val="23"/>
          <w:u w:color="000000"/>
          <w:lang w:eastAsia="it-IT"/>
        </w:rPr>
        <w:t xml:space="preserve">tentativo di </w:t>
      </w:r>
      <w:r w:rsidRPr="00753D78">
        <w:rPr>
          <w:rFonts w:ascii="Arial" w:eastAsia="Book Antiqua" w:hAnsi="Arial" w:cs="Arial"/>
          <w:b/>
          <w:bCs/>
          <w:color w:val="000000"/>
          <w:sz w:val="23"/>
          <w:szCs w:val="23"/>
          <w:u w:color="000000"/>
          <w:lang w:eastAsia="it-IT"/>
        </w:rPr>
        <w:t>conciliazione giudiziale</w:t>
      </w:r>
      <w:r w:rsidRPr="00753D78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 xml:space="preserve"> </w:t>
      </w:r>
      <w:r w:rsidRPr="00753D78">
        <w:rPr>
          <w:rFonts w:ascii="Arial" w:eastAsia="Book Antiqua" w:hAnsi="Arial" w:cs="Arial"/>
          <w:b/>
          <w:bCs/>
          <w:color w:val="000000"/>
          <w:sz w:val="23"/>
          <w:szCs w:val="23"/>
          <w:u w:color="000000"/>
          <w:lang w:eastAsia="it-IT"/>
        </w:rPr>
        <w:t>obbligatoria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da affidare ai proposti nuovi organi di reclamo/mediazione in composizione collegiale</w:t>
      </w:r>
      <w:r w:rsidRPr="00EB5D3D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, ma anche </w:t>
      </w:r>
      <w:r w:rsidRPr="00A030B5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>coinvolgere</w:t>
      </w:r>
      <w:r w:rsidRPr="00EB5D3D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nei</w:t>
      </w:r>
      <w:r w:rsidRPr="00753D78">
        <w:rPr>
          <w:rFonts w:ascii="Arial" w:eastAsia="Book Antiqua" w:hAnsi="Arial" w:cs="Arial"/>
          <w:color w:val="000000"/>
          <w:sz w:val="23"/>
          <w:szCs w:val="23"/>
          <w:u w:color="000000"/>
          <w:lang w:eastAsia="it-IT"/>
        </w:rPr>
        <w:t xml:space="preserve"> collegi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</w:t>
      </w:r>
      <w:r w:rsidRPr="00753D78">
        <w:rPr>
          <w:rFonts w:ascii="Arial" w:eastAsia="Book Antiqua" w:hAnsi="Arial" w:cs="Arial"/>
          <w:color w:val="000000"/>
          <w:sz w:val="23"/>
          <w:szCs w:val="23"/>
          <w:u w:color="000000"/>
          <w:lang w:eastAsia="it-IT"/>
        </w:rPr>
        <w:t>giudicanti i giudici di legittimità a riposo</w:t>
      </w:r>
      <w:r w:rsidRPr="00EB5D3D">
        <w:rPr>
          <w:rFonts w:ascii="Arial" w:eastAsia="Book Antiqua" w:hAnsi="Arial" w:cs="Arial"/>
          <w:color w:val="000000"/>
          <w:sz w:val="23"/>
          <w:szCs w:val="23"/>
          <w:u w:color="000000"/>
          <w:lang w:eastAsia="it-IT"/>
        </w:rPr>
        <w:t xml:space="preserve"> con 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>un’esperienza almeno biennale</w:t>
      </w:r>
      <w:r w:rsidRPr="00EB5D3D">
        <w:rPr>
          <w:rFonts w:ascii="Arial" w:eastAsia="Book Antiqua" w:hAnsi="Arial" w:cs="Arial"/>
          <w:color w:val="000000"/>
          <w:sz w:val="23"/>
          <w:szCs w:val="23"/>
          <w:u w:color="000000"/>
          <w:lang w:eastAsia="it-IT"/>
        </w:rPr>
        <w:t>”.</w:t>
      </w:r>
    </w:p>
    <w:p w14:paraId="2169E00F" w14:textId="75C5510C" w:rsidR="004F6DDE" w:rsidRPr="00EB5D3D" w:rsidRDefault="004F6DDE" w:rsidP="00A73737">
      <w:pPr>
        <w:keepNext/>
        <w:keepLines/>
        <w:spacing w:after="0" w:line="240" w:lineRule="auto"/>
        <w:jc w:val="both"/>
        <w:outlineLvl w:val="0"/>
        <w:rPr>
          <w:rFonts w:ascii="Arial" w:eastAsia="Book Antiqua" w:hAnsi="Arial" w:cs="Arial"/>
          <w:color w:val="000000"/>
          <w:sz w:val="23"/>
          <w:szCs w:val="23"/>
          <w:u w:color="000000"/>
          <w:lang w:eastAsia="it-IT"/>
        </w:rPr>
      </w:pPr>
    </w:p>
    <w:p w14:paraId="3192D055" w14:textId="77777777" w:rsidR="004F6DDE" w:rsidRPr="00360891" w:rsidRDefault="004F6DDE" w:rsidP="004F6DDE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  <w:r w:rsidRPr="00360891">
        <w:rPr>
          <w:rFonts w:ascii="Arial" w:eastAsia="Book Antiqua" w:hAnsi="Arial" w:cs="Arial"/>
          <w:color w:val="000000"/>
          <w:sz w:val="23"/>
          <w:szCs w:val="23"/>
          <w:lang w:eastAsia="it-IT"/>
        </w:rPr>
        <w:t>Sempre i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>n conformità a quanto previsto dal P</w:t>
      </w:r>
      <w:r w:rsidRPr="00360891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NRR, i rappresentanti del CNDCEC hanno chiesto di </w:t>
      </w:r>
      <w:r w:rsidRPr="00753D78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>perfeziona</w:t>
      </w:r>
      <w:r w:rsidRPr="00360891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>re</w:t>
      </w:r>
      <w:r w:rsidRPr="00360891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le </w:t>
      </w:r>
      <w:r w:rsidRPr="00753D78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>piattaforme tecnologiche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e </w:t>
      </w:r>
      <w:r w:rsidRPr="00753D78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>le banche dati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della giurisprudenza tributaria di merito, garantendone la </w:t>
      </w:r>
      <w:r w:rsidRPr="00753D78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>piena accessibilità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da parte del pubblico</w:t>
      </w:r>
      <w:r w:rsidRPr="00360891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al fine di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intervenire sulla funzione predittiva connessa con la conoscenza della giurisprudenza</w:t>
      </w:r>
      <w:r w:rsidRPr="00360891">
        <w:rPr>
          <w:rFonts w:ascii="Arial" w:eastAsia="Book Antiqua" w:hAnsi="Arial" w:cs="Arial"/>
          <w:color w:val="000000"/>
          <w:sz w:val="23"/>
          <w:szCs w:val="23"/>
          <w:lang w:eastAsia="it-IT"/>
        </w:rPr>
        <w:t>.</w:t>
      </w:r>
    </w:p>
    <w:p w14:paraId="3BD89D32" w14:textId="77777777" w:rsidR="004F6DDE" w:rsidRPr="00360891" w:rsidRDefault="004F6DDE" w:rsidP="004F6DDE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1B19143C" w14:textId="26376215" w:rsidR="004F6DDE" w:rsidRPr="00EB5D3D" w:rsidRDefault="004F6DDE" w:rsidP="004F6DDE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  <w:r w:rsidRPr="00EB5D3D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Il Consiglio nazionale dei commercialisti è poi intervenuto, ancora una volta, sui </w:t>
      </w:r>
      <w:r w:rsidRPr="00753D78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>futuri organi giudicanti</w:t>
      </w:r>
      <w:r w:rsidRPr="00EB5D3D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“che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dovranno essere composti da soggetti appartenenti al ruolo dei </w:t>
      </w:r>
      <w:r w:rsidRPr="00EB5D3D">
        <w:rPr>
          <w:rFonts w:ascii="Arial" w:eastAsia="Book Antiqua" w:hAnsi="Arial" w:cs="Arial"/>
          <w:color w:val="000000"/>
          <w:sz w:val="23"/>
          <w:szCs w:val="23"/>
          <w:lang w:eastAsia="it-IT"/>
        </w:rPr>
        <w:t>m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agistrati tributari, selezionati con concorso pubblico che privilegi titoli di studio e servizio in materia tributaria e </w:t>
      </w:r>
      <w:r w:rsidRPr="00EB5D3D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di 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>contabilità e bilancio, assicurando l’accesso al concorso</w:t>
      </w:r>
      <w:r w:rsidRPr="00EB5D3D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non solo ai laureati in giurisprudenza, ma anche 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>in economia</w:t>
      </w:r>
      <w:r w:rsidRPr="00EB5D3D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. </w:t>
      </w:r>
      <w:r w:rsidRPr="00287977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>M</w:t>
      </w:r>
      <w:r w:rsidRPr="00753D78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 xml:space="preserve">agistrati 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>che, una volta vinto il concorso, siano</w:t>
      </w:r>
      <w:r w:rsidRPr="00EB5D3D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</w:t>
      </w:r>
      <w:r w:rsidRPr="00287977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>a</w:t>
      </w:r>
      <w:r w:rsidRPr="00753D78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 xml:space="preserve"> tempo pieno</w:t>
      </w:r>
      <w:r w:rsidRPr="00EB5D3D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, 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>professionali e specializzati</w:t>
      </w:r>
      <w:r w:rsidRPr="00EB5D3D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, ma soprattutto </w:t>
      </w:r>
      <w:r w:rsidRPr="00753D78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 xml:space="preserve">sottoposti all’obbligo di </w:t>
      </w:r>
      <w:r w:rsidRPr="00753D78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lastRenderedPageBreak/>
        <w:t>formazione continua</w:t>
      </w:r>
      <w:r w:rsidRPr="00EB5D3D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. Per questo motivo, </w:t>
      </w:r>
      <w:r w:rsidR="00287977">
        <w:rPr>
          <w:rFonts w:ascii="Arial" w:eastAsia="Book Antiqua" w:hAnsi="Arial" w:cs="Arial"/>
          <w:color w:val="000000"/>
          <w:sz w:val="23"/>
          <w:szCs w:val="23"/>
          <w:lang w:eastAsia="it-IT"/>
        </w:rPr>
        <w:t>sarebbe necessario istituire una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</w:t>
      </w:r>
      <w:r w:rsidRPr="00753D78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>Scuola Superiore della Magistratura Tributaria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per garantire</w:t>
      </w:r>
      <w:r w:rsidR="00287977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loro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la formazione e l’aggiornamento professionale continuo</w:t>
      </w:r>
      <w:r w:rsidRPr="00EB5D3D">
        <w:rPr>
          <w:rFonts w:ascii="Arial" w:eastAsia="Book Antiqua" w:hAnsi="Arial" w:cs="Arial"/>
          <w:color w:val="000000"/>
          <w:sz w:val="23"/>
          <w:szCs w:val="23"/>
          <w:lang w:eastAsia="it-IT"/>
        </w:rPr>
        <w:t>”.</w:t>
      </w:r>
    </w:p>
    <w:p w14:paraId="77A44809" w14:textId="77777777" w:rsidR="000E13DA" w:rsidRDefault="000E13DA" w:rsidP="004F6DDE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63F20A79" w14:textId="59B45EC3" w:rsidR="004F6DDE" w:rsidRPr="00753D78" w:rsidRDefault="004F6DDE" w:rsidP="004F6DDE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In tale contesto, </w:t>
      </w:r>
      <w:r w:rsidR="00287977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secondo i commercialisti, 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va prevista una </w:t>
      </w:r>
      <w:r w:rsidRPr="00753D78">
        <w:rPr>
          <w:rFonts w:ascii="Arial" w:eastAsia="Book Antiqua" w:hAnsi="Arial" w:cs="Arial"/>
          <w:b/>
          <w:bCs/>
          <w:color w:val="000000"/>
          <w:sz w:val="23"/>
          <w:szCs w:val="23"/>
          <w:u w:color="000000"/>
          <w:lang w:eastAsia="it-IT"/>
        </w:rPr>
        <w:t>disciplina transitoria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</w:t>
      </w:r>
      <w:r w:rsidR="00287977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della durata di </w:t>
      </w:r>
      <w:r w:rsidR="00287977" w:rsidRPr="00287977">
        <w:rPr>
          <w:rFonts w:ascii="Arial" w:eastAsia="Book Antiqua" w:hAnsi="Arial" w:cs="Arial"/>
          <w:b/>
          <w:bCs/>
          <w:color w:val="000000"/>
          <w:sz w:val="23"/>
          <w:szCs w:val="23"/>
          <w:lang w:eastAsia="it-IT"/>
        </w:rPr>
        <w:t>tre anni</w:t>
      </w:r>
      <w:r w:rsidR="00287977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per g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arantire il graduale inserimento dei nuovi giudici e non disperdere le professionalità </w:t>
      </w:r>
      <w:r w:rsidR="00287977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che operano 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nelle attuali Commissione tributarie. I giudici tributari in carica </w:t>
      </w:r>
      <w:r w:rsidR="00287977">
        <w:rPr>
          <w:rFonts w:ascii="Arial" w:eastAsia="Book Antiqua" w:hAnsi="Arial" w:cs="Arial"/>
          <w:color w:val="000000"/>
          <w:sz w:val="23"/>
          <w:szCs w:val="23"/>
          <w:lang w:eastAsia="it-IT"/>
        </w:rPr>
        <w:t>all’entrata in vigore d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>ella riforma dovrebbero essere inclusi in graduatoria mediante la sola valutazione di titoli, garantendo ai giudici “togati” la permanenza nei ruoli della giurisdizione di provenienza. Al termine del</w:t>
      </w:r>
      <w:r w:rsidR="00287977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periodo</w:t>
      </w:r>
      <w:r w:rsidRPr="00753D78">
        <w:rPr>
          <w:rFonts w:ascii="Arial" w:eastAsia="Book Antiqua" w:hAnsi="Arial" w:cs="Arial"/>
          <w:color w:val="000000"/>
          <w:sz w:val="23"/>
          <w:szCs w:val="23"/>
          <w:lang w:eastAsia="it-IT"/>
        </w:rPr>
        <w:t xml:space="preserve"> transitorio, la permanenza in graduatoria è subordinata alla dimostrazione di aver frequentato un corso di specializzazione nelle materie di contabilità e bilancio e i giudici “togati” dovranno optare per l’incarico esclusivo nella giurisdizione tributaria. </w:t>
      </w:r>
    </w:p>
    <w:p w14:paraId="2DB4140E" w14:textId="77777777" w:rsidR="004F6DDE" w:rsidRPr="00753D78" w:rsidRDefault="004F6DDE" w:rsidP="004F6DDE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28359FE5" w14:textId="5136D507" w:rsidR="009A6D48" w:rsidRDefault="009A6D48" w:rsidP="009A6D48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  <w:r w:rsidRPr="00EB5D3D">
        <w:rPr>
          <w:rFonts w:ascii="Arial" w:eastAsia="Book Antiqua" w:hAnsi="Arial" w:cs="Arial"/>
          <w:color w:val="000000"/>
          <w:sz w:val="23"/>
          <w:szCs w:val="23"/>
          <w:lang w:eastAsia="it-IT"/>
        </w:rPr>
        <w:br/>
      </w:r>
    </w:p>
    <w:p w14:paraId="3F9752C5" w14:textId="2B4F389E" w:rsidR="00BC77C3" w:rsidRDefault="00BC77C3" w:rsidP="009A6D48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193BD234" w14:textId="26FBCF56" w:rsidR="00BC77C3" w:rsidRDefault="00BC77C3" w:rsidP="009A6D48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254DE3CC" w14:textId="3828BC83" w:rsidR="00BC77C3" w:rsidRDefault="00BC77C3" w:rsidP="009A6D48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0DD4B84C" w14:textId="34AEF2C2" w:rsidR="00BC77C3" w:rsidRDefault="00BC77C3" w:rsidP="009A6D48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36A3CA54" w14:textId="4495C7CA" w:rsidR="00BC77C3" w:rsidRDefault="00BC77C3" w:rsidP="009A6D48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411E70F7" w14:textId="47E092BD" w:rsidR="00BC77C3" w:rsidRDefault="00BC77C3" w:rsidP="009A6D48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0D6A42CA" w14:textId="409108F6" w:rsidR="00BC77C3" w:rsidRDefault="00BC77C3" w:rsidP="009A6D48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1711AD72" w14:textId="1C37AD5B" w:rsidR="00BC77C3" w:rsidRDefault="00BC77C3" w:rsidP="009A6D48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1F0245B7" w14:textId="35394629" w:rsidR="00BC77C3" w:rsidRDefault="00BC77C3" w:rsidP="009A6D48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71457413" w14:textId="1082ED4C" w:rsidR="00BC77C3" w:rsidRDefault="00BC77C3" w:rsidP="009A6D48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09D641C6" w14:textId="7BA5EF24" w:rsidR="00BC77C3" w:rsidRDefault="00BC77C3" w:rsidP="009A6D48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27D42A58" w14:textId="42D5AE89" w:rsidR="00BC77C3" w:rsidRDefault="00BC77C3" w:rsidP="009A6D48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1A9587CD" w14:textId="758788A1" w:rsidR="00BC77C3" w:rsidRDefault="00BC77C3" w:rsidP="009A6D48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6B917B6D" w14:textId="4738F703" w:rsidR="00BC77C3" w:rsidRDefault="00BC77C3" w:rsidP="009A6D48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6F691603" w14:textId="2D7E6ED2" w:rsidR="00BC77C3" w:rsidRDefault="00BC77C3" w:rsidP="009A6D48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666E4055" w14:textId="2EA6F91D" w:rsidR="00BC77C3" w:rsidRDefault="00BC77C3" w:rsidP="009A6D48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56AF8727" w14:textId="26E0D729" w:rsidR="00BC77C3" w:rsidRDefault="00BC77C3" w:rsidP="009A6D48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1AAAFA44" w14:textId="2C4FC949" w:rsidR="00BC77C3" w:rsidRDefault="00BC77C3" w:rsidP="009A6D48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0BE9D368" w14:textId="2460071D" w:rsidR="00BC77C3" w:rsidRDefault="00BC77C3" w:rsidP="009A6D48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12FD9E35" w14:textId="26AB1359" w:rsidR="00BC77C3" w:rsidRDefault="00BC77C3" w:rsidP="009A6D48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0C120ABD" w14:textId="2B329A20" w:rsidR="00BC77C3" w:rsidRDefault="00BC77C3" w:rsidP="009A6D48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4F4F9092" w14:textId="77777777" w:rsidR="00BC77C3" w:rsidRDefault="00BC77C3" w:rsidP="009A6D48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0F93D59E" w14:textId="3576B92F" w:rsidR="00BC77C3" w:rsidRDefault="00BC77C3" w:rsidP="009A6D48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26AB0F0D" w14:textId="0B6D2A6F" w:rsidR="00BC77C3" w:rsidRDefault="00BC77C3" w:rsidP="009A6D48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7601AD74" w14:textId="39681FC5" w:rsidR="00BC77C3" w:rsidRDefault="00BC77C3" w:rsidP="009A6D48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p w14:paraId="55EDC513" w14:textId="77777777" w:rsidR="00BC77C3" w:rsidRPr="00193CB1" w:rsidRDefault="00BC77C3" w:rsidP="00BC77C3">
      <w:pPr>
        <w:spacing w:after="0" w:line="240" w:lineRule="auto"/>
        <w:jc w:val="center"/>
        <w:rPr>
          <w:rFonts w:ascii="Arial" w:hAnsi="Arial" w:cs="Arial"/>
          <w:color w:val="4472C4" w:themeColor="accent1"/>
          <w:sz w:val="18"/>
          <w:szCs w:val="18"/>
        </w:rPr>
      </w:pPr>
      <w:r w:rsidRPr="00193CB1">
        <w:rPr>
          <w:rFonts w:ascii="Arial" w:hAnsi="Arial" w:cs="Arial"/>
          <w:color w:val="4472C4" w:themeColor="accent1"/>
          <w:sz w:val="18"/>
          <w:szCs w:val="18"/>
        </w:rPr>
        <w:t>UFFICIO STAMPA E COMUNICAZIONE</w:t>
      </w:r>
    </w:p>
    <w:p w14:paraId="1DAE4398" w14:textId="77777777" w:rsidR="00BC77C3" w:rsidRPr="00193CB1" w:rsidRDefault="00BC77C3" w:rsidP="00BC77C3">
      <w:pPr>
        <w:spacing w:after="0" w:line="240" w:lineRule="auto"/>
        <w:jc w:val="center"/>
        <w:rPr>
          <w:rFonts w:ascii="Arial" w:hAnsi="Arial" w:cs="Arial"/>
          <w:color w:val="4472C4" w:themeColor="accent1"/>
          <w:sz w:val="18"/>
          <w:szCs w:val="18"/>
        </w:rPr>
      </w:pPr>
      <w:r w:rsidRPr="00193CB1">
        <w:rPr>
          <w:rFonts w:ascii="Arial" w:hAnsi="Arial" w:cs="Arial"/>
          <w:color w:val="4472C4" w:themeColor="accent1"/>
          <w:sz w:val="18"/>
          <w:szCs w:val="18"/>
        </w:rPr>
        <w:t>Tiziana Mastrogiacomo – +39 06 47863623</w:t>
      </w:r>
    </w:p>
    <w:p w14:paraId="4163E1F4" w14:textId="77777777" w:rsidR="00BC77C3" w:rsidRPr="00193CB1" w:rsidRDefault="00875142" w:rsidP="00BC77C3">
      <w:pPr>
        <w:spacing w:after="0" w:line="240" w:lineRule="auto"/>
        <w:jc w:val="center"/>
        <w:rPr>
          <w:rFonts w:ascii="Arial" w:hAnsi="Arial" w:cs="Arial"/>
          <w:color w:val="4472C4" w:themeColor="accent1"/>
          <w:sz w:val="18"/>
          <w:szCs w:val="18"/>
        </w:rPr>
      </w:pPr>
      <w:hyperlink r:id="rId7" w:history="1">
        <w:r w:rsidR="00BC77C3" w:rsidRPr="00193CB1">
          <w:rPr>
            <w:rStyle w:val="Collegamentoipertestuale"/>
            <w:rFonts w:ascii="Arial" w:hAnsi="Arial" w:cs="Arial"/>
            <w:sz w:val="18"/>
            <w:szCs w:val="18"/>
            <w:u w:val="none"/>
          </w:rPr>
          <w:t>stampa@commercialisti.it</w:t>
        </w:r>
      </w:hyperlink>
      <w:r w:rsidR="00BC77C3" w:rsidRPr="00193CB1">
        <w:rPr>
          <w:rFonts w:ascii="Arial" w:hAnsi="Arial" w:cs="Arial"/>
          <w:color w:val="4472C4" w:themeColor="accent1"/>
          <w:sz w:val="18"/>
          <w:szCs w:val="18"/>
        </w:rPr>
        <w:t xml:space="preserve"> </w:t>
      </w:r>
    </w:p>
    <w:p w14:paraId="2FE02F46" w14:textId="77777777" w:rsidR="00BC77C3" w:rsidRPr="00193CB1" w:rsidRDefault="00BC77C3" w:rsidP="00BC77C3">
      <w:pPr>
        <w:spacing w:after="0" w:line="240" w:lineRule="auto"/>
        <w:jc w:val="center"/>
        <w:rPr>
          <w:rFonts w:ascii="Arial" w:hAnsi="Arial" w:cs="Arial"/>
          <w:color w:val="4472C4" w:themeColor="accent1"/>
          <w:sz w:val="18"/>
          <w:szCs w:val="18"/>
        </w:rPr>
      </w:pPr>
    </w:p>
    <w:p w14:paraId="46825DE8" w14:textId="77777777" w:rsidR="00BC77C3" w:rsidRPr="00193CB1" w:rsidRDefault="00BC77C3" w:rsidP="00BC77C3">
      <w:pPr>
        <w:spacing w:after="0" w:line="240" w:lineRule="auto"/>
        <w:jc w:val="center"/>
        <w:rPr>
          <w:rFonts w:ascii="Arial" w:hAnsi="Arial" w:cs="Arial"/>
          <w:color w:val="4472C4" w:themeColor="accent1"/>
          <w:sz w:val="18"/>
          <w:szCs w:val="18"/>
        </w:rPr>
      </w:pPr>
      <w:r w:rsidRPr="00193CB1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FD3BBC2" wp14:editId="68D6C390">
            <wp:extent cx="447675" cy="447675"/>
            <wp:effectExtent l="0" t="0" r="9525" b="9525"/>
            <wp:docPr id="8" name="Immagine 8" descr="Facebook ic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Facebook ico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CB1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12194D19" wp14:editId="6FAF6D21">
            <wp:extent cx="447675" cy="447675"/>
            <wp:effectExtent l="0" t="0" r="9525" b="9525"/>
            <wp:docPr id="6" name="Immagine 6" descr="LinkedIn ic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LinkedIn icon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CB1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7FA7BE8" wp14:editId="1F7042EF">
            <wp:extent cx="447675" cy="447675"/>
            <wp:effectExtent l="0" t="0" r="9525" b="9525"/>
            <wp:docPr id="9" name="Immagine 9" descr="Twitter ico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Twitter icon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CB1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0C48186" wp14:editId="7DA9BC14">
            <wp:extent cx="457200" cy="457200"/>
            <wp:effectExtent l="0" t="0" r="0" b="0"/>
            <wp:docPr id="3" name="Immagine 3" descr="Instagram ico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nstagram icon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CB1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3A159A0" wp14:editId="0FF853D4">
            <wp:extent cx="447675" cy="447675"/>
            <wp:effectExtent l="0" t="0" r="9525" b="9525"/>
            <wp:docPr id="10" name="Immagine 10" descr="Youtube icon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Youtube icon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96015" w14:textId="77777777" w:rsidR="00BC77C3" w:rsidRPr="00193CB1" w:rsidRDefault="00BC77C3" w:rsidP="00BC77C3">
      <w:pPr>
        <w:spacing w:after="0" w:line="240" w:lineRule="auto"/>
        <w:jc w:val="center"/>
        <w:rPr>
          <w:rFonts w:ascii="Arial" w:hAnsi="Arial" w:cs="Arial"/>
          <w:color w:val="4472C4" w:themeColor="accent1"/>
          <w:sz w:val="18"/>
          <w:szCs w:val="18"/>
        </w:rPr>
      </w:pPr>
    </w:p>
    <w:p w14:paraId="09C7AE18" w14:textId="77777777" w:rsidR="00BC77C3" w:rsidRPr="00193CB1" w:rsidRDefault="00BC77C3" w:rsidP="00BC77C3">
      <w:pPr>
        <w:pStyle w:val="Pidipagina"/>
        <w:rPr>
          <w:rFonts w:ascii="Arial" w:hAnsi="Arial" w:cs="Arial"/>
          <w:sz w:val="18"/>
          <w:szCs w:val="18"/>
        </w:rPr>
      </w:pPr>
    </w:p>
    <w:p w14:paraId="4C6E857E" w14:textId="77777777" w:rsidR="00BC77C3" w:rsidRPr="00193CB1" w:rsidRDefault="00BC77C3" w:rsidP="00BC77C3">
      <w:pPr>
        <w:spacing w:after="0" w:line="240" w:lineRule="auto"/>
        <w:jc w:val="center"/>
        <w:rPr>
          <w:rFonts w:ascii="Arial" w:hAnsi="Arial" w:cs="Arial"/>
          <w:color w:val="4472C4" w:themeColor="accent1"/>
          <w:sz w:val="18"/>
          <w:szCs w:val="18"/>
        </w:rPr>
      </w:pPr>
      <w:r w:rsidRPr="00193CB1">
        <w:rPr>
          <w:rFonts w:ascii="Arial" w:hAnsi="Arial" w:cs="Arial"/>
          <w:color w:val="4472C4" w:themeColor="accent1"/>
          <w:sz w:val="18"/>
          <w:szCs w:val="18"/>
        </w:rPr>
        <w:t>CONSIGLIO NAZIONALE DEI DOTTORI COMMERCIALISTI E DEGLI ESPERTI CONTABILI</w:t>
      </w:r>
    </w:p>
    <w:p w14:paraId="47040425" w14:textId="77777777" w:rsidR="00BC77C3" w:rsidRPr="00193CB1" w:rsidRDefault="00BC77C3" w:rsidP="00BC77C3">
      <w:pPr>
        <w:spacing w:after="0" w:line="240" w:lineRule="auto"/>
        <w:jc w:val="center"/>
        <w:rPr>
          <w:rFonts w:ascii="Arial" w:hAnsi="Arial" w:cs="Arial"/>
          <w:color w:val="4472C4" w:themeColor="accent1"/>
          <w:sz w:val="18"/>
          <w:szCs w:val="18"/>
        </w:rPr>
      </w:pPr>
      <w:r w:rsidRPr="00193CB1">
        <w:rPr>
          <w:rFonts w:ascii="Arial" w:hAnsi="Arial" w:cs="Arial"/>
          <w:color w:val="4472C4" w:themeColor="accent1"/>
          <w:sz w:val="18"/>
          <w:szCs w:val="18"/>
        </w:rPr>
        <w:t>Piazza della Repubblica, 59 – 00185 ROMA | www.commercialisti.it</w:t>
      </w:r>
    </w:p>
    <w:p w14:paraId="001FE353" w14:textId="77777777" w:rsidR="00BC77C3" w:rsidRPr="00193CB1" w:rsidRDefault="00BC77C3" w:rsidP="00BC77C3">
      <w:pPr>
        <w:spacing w:after="0" w:line="240" w:lineRule="auto"/>
        <w:jc w:val="center"/>
        <w:rPr>
          <w:rFonts w:ascii="Arial" w:hAnsi="Arial" w:cs="Arial"/>
          <w:color w:val="4472C4" w:themeColor="accent1"/>
          <w:sz w:val="18"/>
          <w:szCs w:val="18"/>
        </w:rPr>
      </w:pPr>
    </w:p>
    <w:p w14:paraId="62609F7F" w14:textId="77777777" w:rsidR="00BC77C3" w:rsidRPr="00193CB1" w:rsidRDefault="00BC77C3" w:rsidP="00BC77C3">
      <w:pPr>
        <w:spacing w:after="0" w:line="240" w:lineRule="auto"/>
        <w:jc w:val="center"/>
        <w:rPr>
          <w:rFonts w:ascii="Arial" w:hAnsi="Arial" w:cs="Arial"/>
          <w:color w:val="4472C4" w:themeColor="accent1"/>
        </w:rPr>
      </w:pPr>
    </w:p>
    <w:p w14:paraId="6A97A04E" w14:textId="77777777" w:rsidR="00BC77C3" w:rsidRPr="00EB5D3D" w:rsidRDefault="00BC77C3" w:rsidP="009A6D48">
      <w:pPr>
        <w:spacing w:after="0" w:line="240" w:lineRule="auto"/>
        <w:jc w:val="both"/>
        <w:rPr>
          <w:rFonts w:ascii="Arial" w:eastAsia="Book Antiqua" w:hAnsi="Arial" w:cs="Arial"/>
          <w:color w:val="000000"/>
          <w:sz w:val="23"/>
          <w:szCs w:val="23"/>
          <w:lang w:eastAsia="it-IT"/>
        </w:rPr>
      </w:pPr>
    </w:p>
    <w:sectPr w:rsidR="00BC77C3" w:rsidRPr="00EB5D3D">
      <w:headerReference w:type="defaul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16CEC" w14:textId="77777777" w:rsidR="00875142" w:rsidRDefault="00875142" w:rsidP="000E13DA">
      <w:pPr>
        <w:spacing w:after="0" w:line="240" w:lineRule="auto"/>
      </w:pPr>
      <w:r>
        <w:separator/>
      </w:r>
    </w:p>
  </w:endnote>
  <w:endnote w:type="continuationSeparator" w:id="0">
    <w:p w14:paraId="2CDEA88A" w14:textId="77777777" w:rsidR="00875142" w:rsidRDefault="00875142" w:rsidP="000E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54DF0" w14:textId="77777777" w:rsidR="00875142" w:rsidRDefault="00875142" w:rsidP="000E13DA">
      <w:pPr>
        <w:spacing w:after="0" w:line="240" w:lineRule="auto"/>
      </w:pPr>
      <w:r>
        <w:separator/>
      </w:r>
    </w:p>
  </w:footnote>
  <w:footnote w:type="continuationSeparator" w:id="0">
    <w:p w14:paraId="52D738DC" w14:textId="77777777" w:rsidR="00875142" w:rsidRDefault="00875142" w:rsidP="000E1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B1FE" w14:textId="3724D25F" w:rsidR="000E13DA" w:rsidRDefault="000E13DA" w:rsidP="000E13DA">
    <w:pPr>
      <w:pStyle w:val="Intestazione"/>
      <w:jc w:val="center"/>
    </w:pPr>
    <w:r>
      <w:rPr>
        <w:noProof/>
      </w:rPr>
      <w:drawing>
        <wp:inline distT="0" distB="0" distL="0" distR="0" wp14:anchorId="1AA753C4" wp14:editId="20454F8F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69F5"/>
    <w:multiLevelType w:val="hybridMultilevel"/>
    <w:tmpl w:val="61A0BA46"/>
    <w:lvl w:ilvl="0" w:tplc="C23ABAB0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0085F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A459AC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AA189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6056E8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64FCEA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F2CAC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F6CF98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50D522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78"/>
    <w:rsid w:val="000E13DA"/>
    <w:rsid w:val="00110404"/>
    <w:rsid w:val="00287977"/>
    <w:rsid w:val="00360891"/>
    <w:rsid w:val="003641C6"/>
    <w:rsid w:val="003647FC"/>
    <w:rsid w:val="00435CD3"/>
    <w:rsid w:val="004449CB"/>
    <w:rsid w:val="004F6DDE"/>
    <w:rsid w:val="004F78E3"/>
    <w:rsid w:val="0057138A"/>
    <w:rsid w:val="005F0B12"/>
    <w:rsid w:val="006245EB"/>
    <w:rsid w:val="00675F06"/>
    <w:rsid w:val="00753D78"/>
    <w:rsid w:val="00875142"/>
    <w:rsid w:val="009545F5"/>
    <w:rsid w:val="009A6D48"/>
    <w:rsid w:val="00A030B5"/>
    <w:rsid w:val="00A73737"/>
    <w:rsid w:val="00A92620"/>
    <w:rsid w:val="00B15489"/>
    <w:rsid w:val="00BC77C3"/>
    <w:rsid w:val="00C607F6"/>
    <w:rsid w:val="00D439A3"/>
    <w:rsid w:val="00DC6901"/>
    <w:rsid w:val="00E34D4C"/>
    <w:rsid w:val="00EA232A"/>
    <w:rsid w:val="00EB5D3D"/>
    <w:rsid w:val="00F7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7247"/>
  <w15:chartTrackingRefBased/>
  <w15:docId w15:val="{C4F8D14F-A6D7-4787-A9BC-AE622752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13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3DA"/>
  </w:style>
  <w:style w:type="paragraph" w:styleId="Pidipagina">
    <w:name w:val="footer"/>
    <w:basedOn w:val="Normale"/>
    <w:link w:val="PidipaginaCarattere"/>
    <w:uiPriority w:val="99"/>
    <w:unhideWhenUsed/>
    <w:rsid w:val="000E13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3DA"/>
  </w:style>
  <w:style w:type="character" w:styleId="Collegamentoipertestuale">
    <w:name w:val="Hyperlink"/>
    <w:basedOn w:val="Carpredefinitoparagrafo"/>
    <w:uiPriority w:val="99"/>
    <w:unhideWhenUsed/>
    <w:rsid w:val="00BC77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onsigliocommercialisti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mpa@commercialisti.it" TargetMode="External"/><Relationship Id="rId12" Type="http://schemas.openxmlformats.org/officeDocument/2006/relationships/hyperlink" Target="https://twitter.com/CndcecConsiglio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-GGJbEkA4ip9UdMK-dMt0Q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www.linkedin.com/company/consiglio-nazionale-commercialisti/mycompany/?viewAsMember=tru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instagram.com/commercialisti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22</cp:revision>
  <dcterms:created xsi:type="dcterms:W3CDTF">2021-05-19T10:39:00Z</dcterms:created>
  <dcterms:modified xsi:type="dcterms:W3CDTF">2021-05-19T14:51:00Z</dcterms:modified>
</cp:coreProperties>
</file>