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57E1" w14:textId="77777777" w:rsidR="0053767A" w:rsidRPr="004B6460" w:rsidRDefault="0053767A" w:rsidP="00E9381D">
      <w:pPr>
        <w:jc w:val="center"/>
        <w:rPr>
          <w:rFonts w:ascii="Arial" w:eastAsia="Tahoma" w:hAnsi="Arial" w:cs="Arial"/>
          <w:b/>
          <w:bCs/>
          <w:sz w:val="23"/>
          <w:szCs w:val="23"/>
        </w:rPr>
      </w:pPr>
    </w:p>
    <w:p w14:paraId="11DCC52B" w14:textId="77777777" w:rsidR="00C065BA" w:rsidRPr="004B6460" w:rsidRDefault="00C065BA" w:rsidP="00E9381D">
      <w:pPr>
        <w:pStyle w:val="NormaleWeb"/>
        <w:jc w:val="center"/>
        <w:rPr>
          <w:rFonts w:ascii="Arial" w:hAnsi="Arial" w:cs="Arial"/>
          <w:b/>
          <w:bCs/>
          <w:color w:val="000000"/>
          <w:sz w:val="23"/>
          <w:szCs w:val="23"/>
        </w:rPr>
      </w:pPr>
    </w:p>
    <w:p w14:paraId="6A1DB242" w14:textId="725829E3" w:rsidR="004B6460" w:rsidRPr="004B6460" w:rsidRDefault="004B6460" w:rsidP="004B6460">
      <w:pPr>
        <w:jc w:val="center"/>
        <w:rPr>
          <w:rFonts w:ascii="Arial" w:hAnsi="Arial" w:cs="Arial"/>
          <w:b/>
          <w:bCs/>
          <w:color w:val="000000"/>
          <w:sz w:val="23"/>
          <w:szCs w:val="23"/>
          <w:u w:val="single"/>
        </w:rPr>
      </w:pPr>
      <w:r w:rsidRPr="003C1C09">
        <w:rPr>
          <w:rFonts w:ascii="Arial" w:hAnsi="Arial" w:cs="Arial"/>
          <w:b/>
          <w:bCs/>
          <w:color w:val="000000"/>
          <w:sz w:val="23"/>
          <w:szCs w:val="23"/>
          <w:u w:val="single"/>
        </w:rPr>
        <w:t>C</w:t>
      </w:r>
      <w:r w:rsidRPr="004B6460">
        <w:rPr>
          <w:rFonts w:ascii="Arial" w:hAnsi="Arial" w:cs="Arial"/>
          <w:b/>
          <w:bCs/>
          <w:color w:val="000000"/>
          <w:sz w:val="23"/>
          <w:szCs w:val="23"/>
          <w:u w:val="single"/>
        </w:rPr>
        <w:t>omunicato stampa</w:t>
      </w:r>
    </w:p>
    <w:p w14:paraId="104C76A8" w14:textId="77777777" w:rsidR="004B6460" w:rsidRPr="004B6460" w:rsidRDefault="004B6460" w:rsidP="004B6460">
      <w:pPr>
        <w:jc w:val="center"/>
        <w:rPr>
          <w:rFonts w:ascii="Arial" w:hAnsi="Arial" w:cs="Arial"/>
          <w:b/>
          <w:bCs/>
          <w:color w:val="000000"/>
          <w:sz w:val="23"/>
          <w:szCs w:val="23"/>
        </w:rPr>
      </w:pPr>
    </w:p>
    <w:p w14:paraId="6070B4FD" w14:textId="77777777" w:rsidR="004B6460" w:rsidRPr="004B6460" w:rsidRDefault="004B6460" w:rsidP="004B6460">
      <w:pPr>
        <w:jc w:val="center"/>
        <w:rPr>
          <w:rFonts w:ascii="Arial" w:hAnsi="Arial" w:cs="Arial"/>
          <w:b/>
          <w:bCs/>
          <w:color w:val="000000"/>
          <w:sz w:val="23"/>
          <w:szCs w:val="23"/>
        </w:rPr>
      </w:pPr>
      <w:r w:rsidRPr="004B6460">
        <w:rPr>
          <w:rFonts w:ascii="Arial" w:hAnsi="Arial" w:cs="Arial"/>
          <w:b/>
          <w:bCs/>
          <w:color w:val="000000"/>
          <w:sz w:val="23"/>
          <w:szCs w:val="23"/>
        </w:rPr>
        <w:t>REPORTING DI SOSTENIBILITÀ, DAI COMMERCIALISTI UN FOCUS SU ANALISI DI MATERIALITÀ E DOPPIA RILEVANZA</w:t>
      </w:r>
    </w:p>
    <w:p w14:paraId="5EDC4352" w14:textId="6A790077" w:rsidR="004B6460" w:rsidRPr="004B6460" w:rsidRDefault="004B6460" w:rsidP="004B6460">
      <w:pPr>
        <w:jc w:val="center"/>
        <w:rPr>
          <w:rFonts w:ascii="Arial" w:hAnsi="Arial" w:cs="Arial"/>
          <w:b/>
          <w:bCs/>
          <w:color w:val="000000"/>
          <w:sz w:val="23"/>
          <w:szCs w:val="23"/>
        </w:rPr>
      </w:pPr>
    </w:p>
    <w:p w14:paraId="430F92D4" w14:textId="77777777" w:rsidR="004B6460" w:rsidRPr="004B6460" w:rsidRDefault="004B6460" w:rsidP="004B6460">
      <w:pPr>
        <w:jc w:val="center"/>
        <w:rPr>
          <w:rFonts w:ascii="Arial" w:hAnsi="Arial" w:cs="Arial"/>
          <w:b/>
          <w:bCs/>
          <w:color w:val="000000"/>
          <w:sz w:val="23"/>
          <w:szCs w:val="23"/>
        </w:rPr>
      </w:pPr>
      <w:r w:rsidRPr="004B6460">
        <w:rPr>
          <w:rFonts w:ascii="Arial" w:hAnsi="Arial" w:cs="Arial"/>
          <w:b/>
          <w:bCs/>
          <w:color w:val="000000"/>
          <w:sz w:val="23"/>
          <w:szCs w:val="23"/>
        </w:rPr>
        <w:t>Pubblicato del Consiglio nazionale della categoria il terzo numero dell’IRS</w:t>
      </w:r>
    </w:p>
    <w:p w14:paraId="4780BA63" w14:textId="77777777" w:rsidR="004B6460" w:rsidRPr="004B6460" w:rsidRDefault="004B6460" w:rsidP="004B6460">
      <w:pPr>
        <w:jc w:val="both"/>
        <w:rPr>
          <w:rFonts w:ascii="Arial" w:hAnsi="Arial" w:cs="Arial"/>
          <w:b/>
          <w:bCs/>
          <w:color w:val="000000"/>
          <w:sz w:val="23"/>
          <w:szCs w:val="23"/>
        </w:rPr>
      </w:pPr>
      <w:r w:rsidRPr="004B6460">
        <w:rPr>
          <w:rFonts w:ascii="Arial" w:hAnsi="Arial" w:cs="Arial"/>
          <w:b/>
          <w:bCs/>
          <w:color w:val="000000"/>
          <w:sz w:val="23"/>
          <w:szCs w:val="23"/>
        </w:rPr>
        <w:t xml:space="preserve"> </w:t>
      </w:r>
    </w:p>
    <w:p w14:paraId="307B4CF8" w14:textId="37E2AAF6" w:rsidR="004B6460" w:rsidRPr="004B6460" w:rsidRDefault="004B6460" w:rsidP="004B6460">
      <w:pPr>
        <w:jc w:val="both"/>
        <w:rPr>
          <w:rFonts w:ascii="Arial" w:hAnsi="Arial" w:cs="Arial"/>
          <w:color w:val="000000"/>
          <w:sz w:val="23"/>
          <w:szCs w:val="23"/>
        </w:rPr>
      </w:pPr>
      <w:r w:rsidRPr="004B6460">
        <w:rPr>
          <w:rFonts w:ascii="Arial" w:hAnsi="Arial" w:cs="Arial"/>
          <w:i/>
          <w:iCs/>
          <w:color w:val="000000"/>
          <w:sz w:val="23"/>
          <w:szCs w:val="23"/>
        </w:rPr>
        <w:t>Roma, 19 marzo 2024</w:t>
      </w:r>
      <w:r w:rsidRPr="004B6460">
        <w:rPr>
          <w:rFonts w:ascii="Arial" w:hAnsi="Arial" w:cs="Arial"/>
          <w:color w:val="000000"/>
          <w:sz w:val="23"/>
          <w:szCs w:val="23"/>
        </w:rPr>
        <w:t xml:space="preserve"> </w:t>
      </w:r>
      <w:r>
        <w:rPr>
          <w:rFonts w:ascii="Arial" w:hAnsi="Arial" w:cs="Arial"/>
          <w:color w:val="000000"/>
          <w:sz w:val="23"/>
          <w:szCs w:val="23"/>
        </w:rPr>
        <w:t>–</w:t>
      </w:r>
      <w:r w:rsidRPr="004B6460">
        <w:rPr>
          <w:rFonts w:ascii="Arial" w:hAnsi="Arial" w:cs="Arial"/>
          <w:color w:val="000000"/>
          <w:sz w:val="23"/>
          <w:szCs w:val="23"/>
        </w:rPr>
        <w:t xml:space="preserve"> “</w:t>
      </w:r>
      <w:r w:rsidRPr="00BD067F">
        <w:rPr>
          <w:rFonts w:ascii="Arial" w:hAnsi="Arial" w:cs="Arial"/>
          <w:b/>
          <w:bCs/>
          <w:i/>
          <w:iCs/>
          <w:color w:val="000000"/>
          <w:sz w:val="23"/>
          <w:szCs w:val="23"/>
        </w:rPr>
        <w:t>Dall’analisi di materialità alla doppia rilevanza: una guida applicativa</w:t>
      </w:r>
      <w:r w:rsidRPr="004B6460">
        <w:rPr>
          <w:rFonts w:ascii="Arial" w:hAnsi="Arial" w:cs="Arial"/>
          <w:color w:val="000000"/>
          <w:sz w:val="23"/>
          <w:szCs w:val="23"/>
        </w:rPr>
        <w:t xml:space="preserve">” è il titolo del terzo numero dell’Informativa Reporting di Sostenibilità (IRS) del Consiglio nazionale dei commercialisti, curata questa volta da </w:t>
      </w:r>
      <w:r w:rsidRPr="003C1C09">
        <w:rPr>
          <w:rFonts w:ascii="Arial" w:hAnsi="Arial" w:cs="Arial"/>
          <w:b/>
          <w:bCs/>
          <w:color w:val="000000"/>
          <w:sz w:val="23"/>
          <w:szCs w:val="23"/>
        </w:rPr>
        <w:t>Fabio Ciocca</w:t>
      </w:r>
      <w:r w:rsidRPr="004B6460">
        <w:rPr>
          <w:rFonts w:ascii="Arial" w:hAnsi="Arial" w:cs="Arial"/>
          <w:color w:val="000000"/>
          <w:sz w:val="23"/>
          <w:szCs w:val="23"/>
        </w:rPr>
        <w:t xml:space="preserve"> </w:t>
      </w:r>
      <w:proofErr w:type="gramStart"/>
      <w:r w:rsidRPr="004B6460">
        <w:rPr>
          <w:rFonts w:ascii="Arial" w:hAnsi="Arial" w:cs="Arial"/>
          <w:color w:val="000000"/>
          <w:sz w:val="23"/>
          <w:szCs w:val="23"/>
        </w:rPr>
        <w:t>e</w:t>
      </w:r>
      <w:proofErr w:type="gramEnd"/>
      <w:r w:rsidRPr="004B6460">
        <w:rPr>
          <w:rFonts w:ascii="Arial" w:hAnsi="Arial" w:cs="Arial"/>
          <w:color w:val="000000"/>
          <w:sz w:val="23"/>
          <w:szCs w:val="23"/>
        </w:rPr>
        <w:t xml:space="preserve"> </w:t>
      </w:r>
      <w:r w:rsidRPr="003C1C09">
        <w:rPr>
          <w:rFonts w:ascii="Arial" w:hAnsi="Arial" w:cs="Arial"/>
          <w:b/>
          <w:bCs/>
          <w:color w:val="000000"/>
          <w:sz w:val="23"/>
          <w:szCs w:val="23"/>
        </w:rPr>
        <w:t>Ettore Guarini</w:t>
      </w:r>
      <w:r w:rsidRPr="004B6460">
        <w:rPr>
          <w:rFonts w:ascii="Arial" w:hAnsi="Arial" w:cs="Arial"/>
          <w:color w:val="000000"/>
          <w:sz w:val="23"/>
          <w:szCs w:val="23"/>
        </w:rPr>
        <w:t xml:space="preserve">. Nell’approfondimento – predisposto dalla </w:t>
      </w:r>
      <w:r w:rsidRPr="003C1C09">
        <w:rPr>
          <w:rFonts w:ascii="Arial" w:hAnsi="Arial" w:cs="Arial"/>
          <w:b/>
          <w:bCs/>
          <w:color w:val="000000"/>
          <w:sz w:val="23"/>
          <w:szCs w:val="23"/>
        </w:rPr>
        <w:t>Commissione “Reporting di sostenibilità”</w:t>
      </w:r>
      <w:r w:rsidRPr="004B6460">
        <w:rPr>
          <w:rFonts w:ascii="Arial" w:hAnsi="Arial" w:cs="Arial"/>
          <w:color w:val="000000"/>
          <w:sz w:val="23"/>
          <w:szCs w:val="23"/>
        </w:rPr>
        <w:t xml:space="preserve"> istituita nell’ambito dell’area di delega Sviluppo sostenibile, a cui è delegato il consigliere nazionale </w:t>
      </w:r>
      <w:r w:rsidRPr="003C1C09">
        <w:rPr>
          <w:rFonts w:ascii="Arial" w:hAnsi="Arial" w:cs="Arial"/>
          <w:b/>
          <w:bCs/>
          <w:color w:val="000000"/>
          <w:sz w:val="23"/>
          <w:szCs w:val="23"/>
        </w:rPr>
        <w:t>Gianluca Galletti</w:t>
      </w:r>
      <w:r w:rsidRPr="004B6460">
        <w:rPr>
          <w:rFonts w:ascii="Arial" w:hAnsi="Arial" w:cs="Arial"/>
          <w:color w:val="000000"/>
          <w:sz w:val="23"/>
          <w:szCs w:val="23"/>
        </w:rPr>
        <w:t xml:space="preserve"> – si sottolinea come l’analisi di materialità rappresenti un momento chiave delle fasi che precedono la preparazione dell’Informativa di Sostenibilità.</w:t>
      </w:r>
    </w:p>
    <w:p w14:paraId="05449A3E" w14:textId="77777777" w:rsidR="004B6460" w:rsidRPr="004B6460" w:rsidRDefault="004B6460" w:rsidP="004B6460">
      <w:pPr>
        <w:jc w:val="both"/>
        <w:rPr>
          <w:rFonts w:ascii="Arial" w:hAnsi="Arial" w:cs="Arial"/>
          <w:color w:val="000000"/>
          <w:sz w:val="23"/>
          <w:szCs w:val="23"/>
        </w:rPr>
      </w:pPr>
      <w:r w:rsidRPr="004B6460">
        <w:rPr>
          <w:rFonts w:ascii="Arial" w:hAnsi="Arial" w:cs="Arial"/>
          <w:color w:val="000000"/>
          <w:sz w:val="23"/>
          <w:szCs w:val="23"/>
        </w:rPr>
        <w:t xml:space="preserve"> </w:t>
      </w:r>
    </w:p>
    <w:p w14:paraId="33DDEF53" w14:textId="77777777" w:rsidR="004B6460" w:rsidRPr="004B6460" w:rsidRDefault="004B6460" w:rsidP="004B6460">
      <w:pPr>
        <w:jc w:val="both"/>
        <w:rPr>
          <w:rFonts w:ascii="Arial" w:hAnsi="Arial" w:cs="Arial"/>
          <w:color w:val="000000"/>
          <w:sz w:val="23"/>
          <w:szCs w:val="23"/>
        </w:rPr>
      </w:pPr>
      <w:r w:rsidRPr="004B6460">
        <w:rPr>
          <w:rFonts w:ascii="Arial" w:hAnsi="Arial" w:cs="Arial"/>
          <w:color w:val="000000"/>
          <w:sz w:val="23"/>
          <w:szCs w:val="23"/>
        </w:rPr>
        <w:t xml:space="preserve">La </w:t>
      </w:r>
      <w:r w:rsidRPr="003C1C09">
        <w:rPr>
          <w:rFonts w:ascii="Arial" w:hAnsi="Arial" w:cs="Arial"/>
          <w:b/>
          <w:bCs/>
          <w:color w:val="000000"/>
          <w:sz w:val="23"/>
          <w:szCs w:val="23"/>
        </w:rPr>
        <w:t>Direttiva Europea CSRD</w:t>
      </w:r>
      <w:r w:rsidRPr="004B6460">
        <w:rPr>
          <w:rFonts w:ascii="Arial" w:hAnsi="Arial" w:cs="Arial"/>
          <w:color w:val="000000"/>
          <w:sz w:val="23"/>
          <w:szCs w:val="23"/>
        </w:rPr>
        <w:t xml:space="preserve"> prevede che la materialità sia declinata sia dal punto di vista della rilevanza d’impatto nella prospettiva inside-out che di quella finanziaria nella prospettiva </w:t>
      </w:r>
      <w:proofErr w:type="spellStart"/>
      <w:r w:rsidRPr="004B6460">
        <w:rPr>
          <w:rFonts w:ascii="Arial" w:hAnsi="Arial" w:cs="Arial"/>
          <w:color w:val="000000"/>
          <w:sz w:val="23"/>
          <w:szCs w:val="23"/>
        </w:rPr>
        <w:t>outside</w:t>
      </w:r>
      <w:proofErr w:type="spellEnd"/>
      <w:r w:rsidRPr="004B6460">
        <w:rPr>
          <w:rFonts w:ascii="Arial" w:hAnsi="Arial" w:cs="Arial"/>
          <w:color w:val="000000"/>
          <w:sz w:val="23"/>
          <w:szCs w:val="23"/>
        </w:rPr>
        <w:t>-in. La matrice di materialità è il risultato finale di un’analisi che coinvolge oltre che l’impresa stessa anche una pluralità di soggetti rappresentando quindi una grande occasione per rivedere le strategie aziendali, focalizzandole ad obiettivi più ambiziosi rispetto al passato con conseguente evoluzione dei modelli di business sempre più orientati alle tematiche ESG.</w:t>
      </w:r>
    </w:p>
    <w:p w14:paraId="643322D5" w14:textId="77777777" w:rsidR="004B6460" w:rsidRPr="004B6460" w:rsidRDefault="004B6460" w:rsidP="004B6460">
      <w:pPr>
        <w:jc w:val="both"/>
        <w:rPr>
          <w:rFonts w:ascii="Arial" w:hAnsi="Arial" w:cs="Arial"/>
          <w:color w:val="000000"/>
          <w:sz w:val="23"/>
          <w:szCs w:val="23"/>
        </w:rPr>
      </w:pPr>
      <w:r w:rsidRPr="004B6460">
        <w:rPr>
          <w:rFonts w:ascii="Arial" w:hAnsi="Arial" w:cs="Arial"/>
          <w:color w:val="000000"/>
          <w:sz w:val="23"/>
          <w:szCs w:val="23"/>
        </w:rPr>
        <w:t xml:space="preserve"> </w:t>
      </w:r>
    </w:p>
    <w:p w14:paraId="18CC43DC" w14:textId="77777777" w:rsidR="004B6460" w:rsidRPr="004B6460" w:rsidRDefault="004B6460" w:rsidP="004B6460">
      <w:pPr>
        <w:jc w:val="both"/>
        <w:rPr>
          <w:rFonts w:ascii="Arial" w:hAnsi="Arial" w:cs="Arial"/>
          <w:color w:val="000000"/>
          <w:sz w:val="23"/>
          <w:szCs w:val="23"/>
        </w:rPr>
      </w:pPr>
      <w:r w:rsidRPr="004B6460">
        <w:rPr>
          <w:rFonts w:ascii="Arial" w:hAnsi="Arial" w:cs="Arial"/>
          <w:color w:val="000000"/>
          <w:sz w:val="23"/>
          <w:szCs w:val="23"/>
        </w:rPr>
        <w:t xml:space="preserve">La </w:t>
      </w:r>
      <w:r w:rsidRPr="003C1C09">
        <w:rPr>
          <w:rFonts w:ascii="Arial" w:hAnsi="Arial" w:cs="Arial"/>
          <w:b/>
          <w:bCs/>
          <w:color w:val="000000"/>
          <w:sz w:val="23"/>
          <w:szCs w:val="23"/>
        </w:rPr>
        <w:t>sostenibilità nelle aziende</w:t>
      </w:r>
      <w:r w:rsidRPr="004B6460">
        <w:rPr>
          <w:rFonts w:ascii="Arial" w:hAnsi="Arial" w:cs="Arial"/>
          <w:color w:val="000000"/>
          <w:sz w:val="23"/>
          <w:szCs w:val="23"/>
        </w:rPr>
        <w:t xml:space="preserve"> – scrivono gli autori – è ormai un tema di assoluta attualità anche se di estrema complessità, che merita un </w:t>
      </w:r>
      <w:r w:rsidRPr="003C1C09">
        <w:rPr>
          <w:rFonts w:ascii="Arial" w:hAnsi="Arial" w:cs="Arial"/>
          <w:b/>
          <w:bCs/>
          <w:color w:val="000000"/>
          <w:sz w:val="23"/>
          <w:szCs w:val="23"/>
        </w:rPr>
        <w:t>inquadramento in chiave strategica e operativa</w:t>
      </w:r>
      <w:r w:rsidRPr="004B6460">
        <w:rPr>
          <w:rFonts w:ascii="Arial" w:hAnsi="Arial" w:cs="Arial"/>
          <w:color w:val="000000"/>
          <w:sz w:val="23"/>
          <w:szCs w:val="23"/>
        </w:rPr>
        <w:t xml:space="preserve"> piuttosto che di mera conformità alle normative. Per questa ragione diverse aziende hanno affrontato il tema e promosso il loro impegno nelle tematiche di sostenibilità attraverso l’istituzione, all’interno della propria struttura organizzativa, di </w:t>
      </w:r>
      <w:proofErr w:type="gramStart"/>
      <w:r w:rsidRPr="006F1005">
        <w:rPr>
          <w:rFonts w:ascii="Arial" w:hAnsi="Arial" w:cs="Arial"/>
          <w:b/>
          <w:bCs/>
          <w:color w:val="000000"/>
          <w:sz w:val="23"/>
          <w:szCs w:val="23"/>
        </w:rPr>
        <w:t>un team</w:t>
      </w:r>
      <w:proofErr w:type="gramEnd"/>
      <w:r w:rsidRPr="006F1005">
        <w:rPr>
          <w:rFonts w:ascii="Arial" w:hAnsi="Arial" w:cs="Arial"/>
          <w:b/>
          <w:bCs/>
          <w:color w:val="000000"/>
          <w:sz w:val="23"/>
          <w:szCs w:val="23"/>
        </w:rPr>
        <w:t xml:space="preserve"> di sostenibilità olistico e centrale</w:t>
      </w:r>
      <w:r w:rsidRPr="004B6460">
        <w:rPr>
          <w:rFonts w:ascii="Arial" w:hAnsi="Arial" w:cs="Arial"/>
          <w:color w:val="000000"/>
          <w:sz w:val="23"/>
          <w:szCs w:val="23"/>
        </w:rPr>
        <w:t xml:space="preserve"> che guidi la governance nella definizione della strategia di sostenibilità, stabilendone e adeguandone gli obiettivi. Non esiste una corretta struttura applicabile a ogni azienda; ognuna strutturerà la propria che verosimilmente dovrà adeguare al contesto in cui opera, al modello di business e al territorio in cui si colloca. Nel processo che va dalla definizione della strategia di sostenibilità fino alla misurazione e rappresentazione dei risultati raggiunti, ruolo centrale assume </w:t>
      </w:r>
      <w:r w:rsidRPr="006F1005">
        <w:rPr>
          <w:rFonts w:ascii="Arial" w:hAnsi="Arial" w:cs="Arial"/>
          <w:b/>
          <w:bCs/>
          <w:color w:val="000000"/>
          <w:sz w:val="23"/>
          <w:szCs w:val="23"/>
        </w:rPr>
        <w:t>l’individuazione dei temi materiali</w:t>
      </w:r>
      <w:r w:rsidRPr="004B6460">
        <w:rPr>
          <w:rFonts w:ascii="Arial" w:hAnsi="Arial" w:cs="Arial"/>
          <w:color w:val="000000"/>
          <w:sz w:val="23"/>
          <w:szCs w:val="23"/>
        </w:rPr>
        <w:t xml:space="preserve"> con la particolare declinazione definita doppia materialità (c.d. double </w:t>
      </w:r>
      <w:proofErr w:type="spellStart"/>
      <w:r w:rsidRPr="004B6460">
        <w:rPr>
          <w:rFonts w:ascii="Arial" w:hAnsi="Arial" w:cs="Arial"/>
          <w:color w:val="000000"/>
          <w:sz w:val="23"/>
          <w:szCs w:val="23"/>
        </w:rPr>
        <w:t>materiality</w:t>
      </w:r>
      <w:proofErr w:type="spellEnd"/>
      <w:r w:rsidRPr="004B6460">
        <w:rPr>
          <w:rFonts w:ascii="Arial" w:hAnsi="Arial" w:cs="Arial"/>
          <w:color w:val="000000"/>
          <w:sz w:val="23"/>
          <w:szCs w:val="23"/>
        </w:rPr>
        <w:t>)”.</w:t>
      </w:r>
    </w:p>
    <w:p w14:paraId="05D2F02E" w14:textId="77777777" w:rsidR="00DB0FE6" w:rsidRPr="004B6460" w:rsidRDefault="00DB0FE6" w:rsidP="00287CAA">
      <w:pPr>
        <w:jc w:val="both"/>
        <w:rPr>
          <w:rFonts w:ascii="Arial" w:hAnsi="Arial" w:cs="Arial"/>
          <w:color w:val="000000"/>
          <w:sz w:val="23"/>
          <w:szCs w:val="23"/>
        </w:rPr>
      </w:pPr>
    </w:p>
    <w:sectPr w:rsidR="00DB0FE6" w:rsidRPr="004B6460">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E78E" w14:textId="77777777" w:rsidR="002E3353" w:rsidRDefault="002E3353" w:rsidP="0053767A">
      <w:r>
        <w:separator/>
      </w:r>
    </w:p>
  </w:endnote>
  <w:endnote w:type="continuationSeparator" w:id="0">
    <w:p w14:paraId="2F45F83D" w14:textId="77777777" w:rsidR="002E3353" w:rsidRDefault="002E3353" w:rsidP="0053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7E12" w14:textId="77777777" w:rsidR="002E3353" w:rsidRDefault="002E3353" w:rsidP="0053767A">
      <w:r>
        <w:separator/>
      </w:r>
    </w:p>
  </w:footnote>
  <w:footnote w:type="continuationSeparator" w:id="0">
    <w:p w14:paraId="3E70DE63" w14:textId="77777777" w:rsidR="002E3353" w:rsidRDefault="002E3353" w:rsidP="0053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CF04" w14:textId="137E3C70" w:rsidR="0053767A" w:rsidRDefault="0053767A" w:rsidP="0053767A">
    <w:pPr>
      <w:pStyle w:val="Intestazione"/>
      <w:jc w:val="center"/>
    </w:pPr>
    <w:r>
      <w:rPr>
        <w:noProof/>
      </w:rPr>
      <w:drawing>
        <wp:inline distT="0" distB="0" distL="0" distR="0" wp14:anchorId="6CE15400" wp14:editId="1B607080">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D7"/>
    <w:rsid w:val="0000607D"/>
    <w:rsid w:val="00124B6E"/>
    <w:rsid w:val="00132A25"/>
    <w:rsid w:val="00152D89"/>
    <w:rsid w:val="001A0459"/>
    <w:rsid w:val="00204DB5"/>
    <w:rsid w:val="002502F4"/>
    <w:rsid w:val="00254D79"/>
    <w:rsid w:val="00265B97"/>
    <w:rsid w:val="0027447A"/>
    <w:rsid w:val="00287CAA"/>
    <w:rsid w:val="002C046C"/>
    <w:rsid w:val="002E3353"/>
    <w:rsid w:val="002E3933"/>
    <w:rsid w:val="00336A78"/>
    <w:rsid w:val="003407A8"/>
    <w:rsid w:val="003B6CF5"/>
    <w:rsid w:val="003C1C09"/>
    <w:rsid w:val="003D5A57"/>
    <w:rsid w:val="003E6C43"/>
    <w:rsid w:val="00402D0F"/>
    <w:rsid w:val="0040487B"/>
    <w:rsid w:val="0042652A"/>
    <w:rsid w:val="0043677A"/>
    <w:rsid w:val="00450573"/>
    <w:rsid w:val="00450DF1"/>
    <w:rsid w:val="00464615"/>
    <w:rsid w:val="004B3E6D"/>
    <w:rsid w:val="004B52B8"/>
    <w:rsid w:val="004B6460"/>
    <w:rsid w:val="004C73FD"/>
    <w:rsid w:val="005323A8"/>
    <w:rsid w:val="0053767A"/>
    <w:rsid w:val="00587889"/>
    <w:rsid w:val="005A6576"/>
    <w:rsid w:val="0065054B"/>
    <w:rsid w:val="006664F3"/>
    <w:rsid w:val="00683387"/>
    <w:rsid w:val="00686343"/>
    <w:rsid w:val="006928E0"/>
    <w:rsid w:val="006B1EB0"/>
    <w:rsid w:val="006B222B"/>
    <w:rsid w:val="006B3E6A"/>
    <w:rsid w:val="006F1005"/>
    <w:rsid w:val="006F39E8"/>
    <w:rsid w:val="00731085"/>
    <w:rsid w:val="007C336D"/>
    <w:rsid w:val="007E017B"/>
    <w:rsid w:val="0081776A"/>
    <w:rsid w:val="0084198B"/>
    <w:rsid w:val="008643F7"/>
    <w:rsid w:val="0087548C"/>
    <w:rsid w:val="00875577"/>
    <w:rsid w:val="008B0AD7"/>
    <w:rsid w:val="008C22FF"/>
    <w:rsid w:val="008D4C55"/>
    <w:rsid w:val="008E4C2D"/>
    <w:rsid w:val="00921C2C"/>
    <w:rsid w:val="009577EA"/>
    <w:rsid w:val="009657C6"/>
    <w:rsid w:val="009D7B0D"/>
    <w:rsid w:val="009F5AF0"/>
    <w:rsid w:val="00A46128"/>
    <w:rsid w:val="00A501AA"/>
    <w:rsid w:val="00A9065C"/>
    <w:rsid w:val="00B6559A"/>
    <w:rsid w:val="00BD067F"/>
    <w:rsid w:val="00C065BA"/>
    <w:rsid w:val="00C610A8"/>
    <w:rsid w:val="00D11F59"/>
    <w:rsid w:val="00D729BE"/>
    <w:rsid w:val="00D92D7B"/>
    <w:rsid w:val="00DB0FE6"/>
    <w:rsid w:val="00DC46DB"/>
    <w:rsid w:val="00E339D8"/>
    <w:rsid w:val="00E5193A"/>
    <w:rsid w:val="00E730CE"/>
    <w:rsid w:val="00E9381D"/>
    <w:rsid w:val="00FA6626"/>
    <w:rsid w:val="00FB30D0"/>
    <w:rsid w:val="00FB414A"/>
    <w:rsid w:val="00FE3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E167"/>
  <w15:chartTrackingRefBased/>
  <w15:docId w15:val="{E736ABF5-AE2F-45F8-A7AE-AFAF391E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AD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B0AD7"/>
    <w:rPr>
      <w:rFonts w:cs="Times New Roman"/>
      <w:color w:val="0000FF"/>
      <w:u w:val="single"/>
    </w:rPr>
  </w:style>
  <w:style w:type="character" w:styleId="Collegamentovisitato">
    <w:name w:val="FollowedHyperlink"/>
    <w:basedOn w:val="Carpredefinitoparagrafo"/>
    <w:uiPriority w:val="99"/>
    <w:semiHidden/>
    <w:unhideWhenUsed/>
    <w:rsid w:val="008B0AD7"/>
    <w:rPr>
      <w:color w:val="954F72" w:themeColor="followedHyperlink"/>
      <w:u w:val="single"/>
    </w:rPr>
  </w:style>
  <w:style w:type="paragraph" w:styleId="Intestazione">
    <w:name w:val="header"/>
    <w:basedOn w:val="Normale"/>
    <w:link w:val="IntestazioneCarattere"/>
    <w:uiPriority w:val="99"/>
    <w:unhideWhenUsed/>
    <w:rsid w:val="0053767A"/>
    <w:pPr>
      <w:tabs>
        <w:tab w:val="center" w:pos="4819"/>
        <w:tab w:val="right" w:pos="9638"/>
      </w:tabs>
    </w:pPr>
  </w:style>
  <w:style w:type="character" w:customStyle="1" w:styleId="IntestazioneCarattere">
    <w:name w:val="Intestazione Carattere"/>
    <w:basedOn w:val="Carpredefinitoparagrafo"/>
    <w:link w:val="Intestazione"/>
    <w:uiPriority w:val="99"/>
    <w:rsid w:val="0053767A"/>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53767A"/>
    <w:pPr>
      <w:tabs>
        <w:tab w:val="center" w:pos="4819"/>
        <w:tab w:val="right" w:pos="9638"/>
      </w:tabs>
    </w:pPr>
  </w:style>
  <w:style w:type="character" w:customStyle="1" w:styleId="PidipaginaCarattere">
    <w:name w:val="Piè di pagina Carattere"/>
    <w:basedOn w:val="Carpredefinitoparagrafo"/>
    <w:link w:val="Pidipagina"/>
    <w:uiPriority w:val="99"/>
    <w:rsid w:val="0053767A"/>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unhideWhenUsed/>
    <w:rsid w:val="00FE3235"/>
    <w:rPr>
      <w:sz w:val="24"/>
      <w:szCs w:val="24"/>
    </w:rPr>
  </w:style>
  <w:style w:type="character" w:styleId="Menzionenonrisolta">
    <w:name w:val="Unresolved Mention"/>
    <w:basedOn w:val="Carpredefinitoparagrafo"/>
    <w:uiPriority w:val="99"/>
    <w:semiHidden/>
    <w:unhideWhenUsed/>
    <w:rsid w:val="00FE3235"/>
    <w:rPr>
      <w:color w:val="605E5C"/>
      <w:shd w:val="clear" w:color="auto" w:fill="E1DFDD"/>
    </w:rPr>
  </w:style>
  <w:style w:type="paragraph" w:customStyle="1" w:styleId="elementtoproof">
    <w:name w:val="elementtoproof"/>
    <w:basedOn w:val="Normale"/>
    <w:uiPriority w:val="99"/>
    <w:semiHidden/>
    <w:rsid w:val="007E017B"/>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7670">
      <w:bodyDiv w:val="1"/>
      <w:marLeft w:val="0"/>
      <w:marRight w:val="0"/>
      <w:marTop w:val="0"/>
      <w:marBottom w:val="0"/>
      <w:divBdr>
        <w:top w:val="none" w:sz="0" w:space="0" w:color="auto"/>
        <w:left w:val="none" w:sz="0" w:space="0" w:color="auto"/>
        <w:bottom w:val="none" w:sz="0" w:space="0" w:color="auto"/>
        <w:right w:val="none" w:sz="0" w:space="0" w:color="auto"/>
      </w:divBdr>
    </w:div>
    <w:div w:id="1025903145">
      <w:bodyDiv w:val="1"/>
      <w:marLeft w:val="0"/>
      <w:marRight w:val="0"/>
      <w:marTop w:val="0"/>
      <w:marBottom w:val="0"/>
      <w:divBdr>
        <w:top w:val="none" w:sz="0" w:space="0" w:color="auto"/>
        <w:left w:val="none" w:sz="0" w:space="0" w:color="auto"/>
        <w:bottom w:val="none" w:sz="0" w:space="0" w:color="auto"/>
        <w:right w:val="none" w:sz="0" w:space="0" w:color="auto"/>
      </w:divBdr>
    </w:div>
    <w:div w:id="16251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373</Words>
  <Characters>2127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64</cp:revision>
  <dcterms:created xsi:type="dcterms:W3CDTF">2024-03-12T08:10:00Z</dcterms:created>
  <dcterms:modified xsi:type="dcterms:W3CDTF">2024-03-19T16:22:00Z</dcterms:modified>
</cp:coreProperties>
</file>