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8F1F8" w14:textId="77777777" w:rsidR="001A0044" w:rsidRPr="007E7258" w:rsidRDefault="001A0044" w:rsidP="0040782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6FC6340" w14:textId="4C65971A" w:rsidR="00A24D5A" w:rsidRPr="00862671" w:rsidRDefault="00A24D5A" w:rsidP="00862671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862671">
        <w:rPr>
          <w:rFonts w:ascii="Arial" w:hAnsi="Arial" w:cs="Arial"/>
          <w:b/>
          <w:bCs/>
          <w:sz w:val="23"/>
          <w:szCs w:val="23"/>
        </w:rPr>
        <w:t>COMUNICATO STAMPA</w:t>
      </w:r>
    </w:p>
    <w:p w14:paraId="3F5F923A" w14:textId="77777777" w:rsidR="008C0436" w:rsidRPr="00862671" w:rsidRDefault="008C0436" w:rsidP="00862671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14:paraId="56ACF9CD" w14:textId="2F7F4C40" w:rsidR="001B64D3" w:rsidRPr="00862671" w:rsidRDefault="001B64D3" w:rsidP="00862671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862671">
        <w:rPr>
          <w:rFonts w:ascii="Arial" w:hAnsi="Arial" w:cs="Arial"/>
          <w:b/>
          <w:bCs/>
          <w:sz w:val="23"/>
          <w:szCs w:val="23"/>
        </w:rPr>
        <w:t>COMMERCIALISTI: SOCIET</w:t>
      </w:r>
      <w:r w:rsidR="00862671" w:rsidRPr="00862671">
        <w:rPr>
          <w:rFonts w:ascii="Arial" w:hAnsi="Arial" w:cs="Arial"/>
          <w:b/>
          <w:bCs/>
          <w:sz w:val="23"/>
          <w:szCs w:val="23"/>
        </w:rPr>
        <w:t>À</w:t>
      </w:r>
      <w:r w:rsidRPr="00862671">
        <w:rPr>
          <w:rFonts w:ascii="Arial" w:hAnsi="Arial" w:cs="Arial"/>
          <w:b/>
          <w:bCs/>
          <w:sz w:val="23"/>
          <w:szCs w:val="23"/>
        </w:rPr>
        <w:t xml:space="preserve"> DI CAPITALI, SI RIDUCE LA CRESCITA DEL FATTURATO</w:t>
      </w:r>
    </w:p>
    <w:p w14:paraId="7C7F1FBD" w14:textId="77777777" w:rsidR="001B64D3" w:rsidRPr="00862671" w:rsidRDefault="001B64D3" w:rsidP="00862671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14:paraId="1A7EC6F5" w14:textId="790080F9" w:rsidR="001B64D3" w:rsidRPr="00862671" w:rsidRDefault="001B64D3" w:rsidP="00862671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862671">
        <w:rPr>
          <w:rFonts w:ascii="Arial" w:hAnsi="Arial" w:cs="Arial"/>
          <w:b/>
          <w:bCs/>
          <w:sz w:val="23"/>
          <w:szCs w:val="23"/>
        </w:rPr>
        <w:t>Le stime della Fondazione nazionale della categoria.</w:t>
      </w:r>
      <w:r w:rsidR="00E213FF">
        <w:rPr>
          <w:rFonts w:ascii="Arial" w:hAnsi="Arial" w:cs="Arial"/>
          <w:b/>
          <w:bCs/>
          <w:sz w:val="23"/>
          <w:szCs w:val="23"/>
        </w:rPr>
        <w:t xml:space="preserve"> </w:t>
      </w:r>
      <w:r w:rsidRPr="00862671">
        <w:rPr>
          <w:rFonts w:ascii="Arial" w:hAnsi="Arial" w:cs="Arial"/>
          <w:b/>
          <w:bCs/>
          <w:sz w:val="23"/>
          <w:szCs w:val="23"/>
        </w:rPr>
        <w:t>Dal +17,4% del 2022 al -2,8% del 2023. +0,2% per il 2024</w:t>
      </w:r>
    </w:p>
    <w:p w14:paraId="0CA37422" w14:textId="77777777" w:rsidR="001B64D3" w:rsidRPr="00862671" w:rsidRDefault="001B64D3" w:rsidP="00862671">
      <w:pPr>
        <w:rPr>
          <w:rFonts w:ascii="Arial" w:hAnsi="Arial" w:cs="Arial"/>
          <w:sz w:val="23"/>
          <w:szCs w:val="23"/>
        </w:rPr>
      </w:pPr>
    </w:p>
    <w:p w14:paraId="75AAE8A2" w14:textId="77777777" w:rsidR="001B64D3" w:rsidRPr="00862671" w:rsidRDefault="001B64D3" w:rsidP="00862671">
      <w:pPr>
        <w:rPr>
          <w:rFonts w:ascii="Arial" w:hAnsi="Arial" w:cs="Arial"/>
          <w:sz w:val="23"/>
          <w:szCs w:val="23"/>
        </w:rPr>
      </w:pPr>
    </w:p>
    <w:p w14:paraId="38AB761B" w14:textId="30C57FE9" w:rsidR="001B64D3" w:rsidRPr="00862671" w:rsidRDefault="001B64D3" w:rsidP="00862671">
      <w:pPr>
        <w:jc w:val="both"/>
        <w:rPr>
          <w:rFonts w:ascii="Arial" w:hAnsi="Arial" w:cs="Arial"/>
          <w:i/>
          <w:iCs/>
          <w:sz w:val="23"/>
          <w:szCs w:val="23"/>
        </w:rPr>
      </w:pPr>
      <w:r w:rsidRPr="00862671">
        <w:rPr>
          <w:rFonts w:ascii="Arial" w:hAnsi="Arial" w:cs="Arial"/>
          <w:i/>
          <w:iCs/>
          <w:sz w:val="23"/>
          <w:szCs w:val="23"/>
        </w:rPr>
        <w:t>Roma, 1</w:t>
      </w:r>
      <w:r w:rsidR="00862671">
        <w:rPr>
          <w:rFonts w:ascii="Arial" w:hAnsi="Arial" w:cs="Arial"/>
          <w:i/>
          <w:iCs/>
          <w:sz w:val="23"/>
          <w:szCs w:val="23"/>
        </w:rPr>
        <w:t>9</w:t>
      </w:r>
      <w:r w:rsidRPr="00862671">
        <w:rPr>
          <w:rFonts w:ascii="Arial" w:hAnsi="Arial" w:cs="Arial"/>
          <w:i/>
          <w:iCs/>
          <w:sz w:val="23"/>
          <w:szCs w:val="23"/>
        </w:rPr>
        <w:t xml:space="preserve"> marzo 2024 -</w:t>
      </w:r>
      <w:r w:rsidRPr="00862671">
        <w:rPr>
          <w:rFonts w:ascii="Arial" w:hAnsi="Arial" w:cs="Arial"/>
          <w:sz w:val="23"/>
          <w:szCs w:val="23"/>
        </w:rPr>
        <w:t xml:space="preserve"> Il rallentamento del Pil e </w:t>
      </w:r>
      <w:r w:rsidR="00357E0B" w:rsidRPr="00862671">
        <w:rPr>
          <w:rFonts w:ascii="Arial" w:hAnsi="Arial" w:cs="Arial"/>
          <w:sz w:val="23"/>
          <w:szCs w:val="23"/>
        </w:rPr>
        <w:t>l</w:t>
      </w:r>
      <w:r w:rsidRPr="00862671">
        <w:rPr>
          <w:rFonts w:ascii="Arial" w:hAnsi="Arial" w:cs="Arial"/>
          <w:sz w:val="23"/>
          <w:szCs w:val="23"/>
        </w:rPr>
        <w:t xml:space="preserve">’inflazione provocano una repentina discesa dei fatturati aziendali. </w:t>
      </w:r>
      <w:r w:rsidR="00357E0B" w:rsidRPr="00862671">
        <w:rPr>
          <w:rFonts w:ascii="Arial" w:hAnsi="Arial" w:cs="Arial"/>
          <w:sz w:val="23"/>
          <w:szCs w:val="23"/>
        </w:rPr>
        <w:t xml:space="preserve">È quanto emerge dalle </w:t>
      </w:r>
      <w:r w:rsidRPr="00862671">
        <w:rPr>
          <w:rFonts w:ascii="Arial" w:hAnsi="Arial" w:cs="Arial"/>
          <w:sz w:val="23"/>
          <w:szCs w:val="23"/>
        </w:rPr>
        <w:t>stime sui bilanci delle società di capitali realizzate dalla Fondazione nazionale dei commercialisti per il 2023 e il 2024</w:t>
      </w:r>
      <w:r w:rsidR="00357E0B" w:rsidRPr="00862671">
        <w:rPr>
          <w:rFonts w:ascii="Arial" w:hAnsi="Arial" w:cs="Arial"/>
          <w:sz w:val="23"/>
          <w:szCs w:val="23"/>
        </w:rPr>
        <w:t>, secondo le quali</w:t>
      </w:r>
      <w:r w:rsidRPr="00862671">
        <w:rPr>
          <w:rFonts w:ascii="Arial" w:hAnsi="Arial" w:cs="Arial"/>
          <w:sz w:val="23"/>
          <w:szCs w:val="23"/>
        </w:rPr>
        <w:t xml:space="preserve"> si registra </w:t>
      </w:r>
      <w:r w:rsidR="00862671">
        <w:rPr>
          <w:rFonts w:ascii="Arial" w:hAnsi="Arial" w:cs="Arial"/>
          <w:sz w:val="23"/>
          <w:szCs w:val="23"/>
        </w:rPr>
        <w:t xml:space="preserve">lo scorso anno </w:t>
      </w:r>
      <w:r w:rsidRPr="00862671">
        <w:rPr>
          <w:rFonts w:ascii="Arial" w:hAnsi="Arial" w:cs="Arial"/>
          <w:sz w:val="23"/>
          <w:szCs w:val="23"/>
        </w:rPr>
        <w:t xml:space="preserve">un calo del fatturato in termini reali pari a -2,8% e un andamento quasi piatto per l’anno in corso (+0,2%). Stime che contrastano con l’andamento del biennio </w:t>
      </w:r>
      <w:r w:rsidR="00357E0B" w:rsidRPr="00862671">
        <w:rPr>
          <w:rFonts w:ascii="Arial" w:hAnsi="Arial" w:cs="Arial"/>
          <w:sz w:val="23"/>
          <w:szCs w:val="23"/>
        </w:rPr>
        <w:t>post-Covid</w:t>
      </w:r>
      <w:r w:rsidRPr="00862671">
        <w:rPr>
          <w:rFonts w:ascii="Arial" w:hAnsi="Arial" w:cs="Arial"/>
          <w:sz w:val="23"/>
          <w:szCs w:val="23"/>
        </w:rPr>
        <w:t xml:space="preserve"> 2021-2022. Sempre in termini reali, infatti, il fatturato aziendale delle società di capitali italiane era cresciuto del 23,6% nel 2021 e del 17,4% nel 2022.</w:t>
      </w:r>
      <w:r w:rsidRPr="00862671">
        <w:rPr>
          <w:rFonts w:ascii="Arial" w:hAnsi="Arial" w:cs="Arial"/>
          <w:i/>
          <w:iCs/>
          <w:sz w:val="23"/>
          <w:szCs w:val="23"/>
        </w:rPr>
        <w:t xml:space="preserve"> </w:t>
      </w:r>
    </w:p>
    <w:p w14:paraId="3CD057C8" w14:textId="77777777" w:rsidR="00357E0B" w:rsidRPr="00862671" w:rsidRDefault="00357E0B" w:rsidP="00862671">
      <w:pPr>
        <w:jc w:val="both"/>
        <w:rPr>
          <w:rFonts w:ascii="Arial" w:hAnsi="Arial" w:cs="Arial"/>
          <w:i/>
          <w:iCs/>
          <w:sz w:val="23"/>
          <w:szCs w:val="23"/>
        </w:rPr>
      </w:pPr>
    </w:p>
    <w:p w14:paraId="4FCF58CC" w14:textId="77777777" w:rsidR="00862671" w:rsidRDefault="00357E0B" w:rsidP="00862671">
      <w:pPr>
        <w:jc w:val="both"/>
        <w:rPr>
          <w:rFonts w:ascii="Arial" w:hAnsi="Arial" w:cs="Arial"/>
          <w:sz w:val="23"/>
          <w:szCs w:val="23"/>
        </w:rPr>
      </w:pPr>
      <w:r w:rsidRPr="00862671">
        <w:rPr>
          <w:rFonts w:ascii="Arial" w:hAnsi="Arial" w:cs="Arial"/>
          <w:b/>
          <w:bCs/>
          <w:sz w:val="23"/>
          <w:szCs w:val="23"/>
        </w:rPr>
        <w:t xml:space="preserve">Stime fatturato 2023-2024. </w:t>
      </w:r>
      <w:r w:rsidRPr="00862671">
        <w:rPr>
          <w:rFonts w:ascii="Arial" w:hAnsi="Arial" w:cs="Arial"/>
          <w:sz w:val="23"/>
          <w:szCs w:val="23"/>
        </w:rPr>
        <w:t xml:space="preserve">Nel corso del 2023, a causa del prolungarsi dell’incertezza economica legata alle tensioni geopolitiche e delle pressioni inflattive sui mercati delle materie prime, l’attività economica nell’area dell’euro e in Italia è andata via via rallentando. Secondo i dati ufficiali Istat, il Pil italiano è cresciuto dello 0,9% nel 2023 contro il +4% del 2022 e il +8,3% del 2021. Nel 2024, le più recenti previsioni dell’Unione europea stimano una crescita di +0,7%.  In linea con l’andamento del Pil, anche i bilanci delle imprese tendono a flettere verso il basso. </w:t>
      </w:r>
    </w:p>
    <w:p w14:paraId="573EB7A3" w14:textId="608E6E96" w:rsidR="00357E0B" w:rsidRPr="00862671" w:rsidRDefault="00357E0B" w:rsidP="00862671">
      <w:pPr>
        <w:jc w:val="both"/>
        <w:rPr>
          <w:rFonts w:ascii="Arial" w:hAnsi="Arial" w:cs="Arial"/>
          <w:sz w:val="23"/>
          <w:szCs w:val="23"/>
        </w:rPr>
      </w:pPr>
      <w:r w:rsidRPr="00862671">
        <w:rPr>
          <w:rFonts w:ascii="Arial" w:hAnsi="Arial" w:cs="Arial"/>
          <w:sz w:val="23"/>
          <w:szCs w:val="23"/>
        </w:rPr>
        <w:t>Secondo gli ultimi dati provenienti dalle statistiche sui flussi mensili della fatturazione elettronica, nei primi dieci mesi del 2023, l’imponibile IVA totale è diminuito del 2,1% rispetto allo stesso periodo del 2022. La produzione industriale, nell’intero anno, si è ridotta del 2,5%. Il fatturato delle imprese industriali, nel corso del 2023, fa registrare un calo dello 0,5%. Nel settore terziario, invece, il fatturato cresce anche se in misura contenuta (+3,9% nel 2023). Sulla base dei dati congiunturali relativi al 2023, i commercialisti stimano un calo del fatturato delle società di capitali che fanno parte dell’Osservatorio della Fondazione nazionale della categoria. In particolare, il fatturato complessivo, dopo una crescita nominale del 25,5% nel 2021 e del 26,1% nel 2022, è previsto aumentare del 3,1% in termini nominali e ridursi del 2,8% in termini reali per il 2023, con una possibile tenuta nel 2024, anno per il quale al momento si prevede un risultato pari a +2,2% in termini nominali e +0,2% in termini reali.</w:t>
      </w:r>
    </w:p>
    <w:p w14:paraId="1C17D397" w14:textId="77777777" w:rsidR="00357E0B" w:rsidRPr="00862671" w:rsidRDefault="00357E0B" w:rsidP="00862671">
      <w:pPr>
        <w:jc w:val="both"/>
        <w:rPr>
          <w:rFonts w:ascii="Arial" w:hAnsi="Arial" w:cs="Arial"/>
          <w:b/>
          <w:bCs/>
          <w:sz w:val="23"/>
          <w:szCs w:val="23"/>
        </w:rPr>
      </w:pPr>
    </w:p>
    <w:p w14:paraId="591D067F" w14:textId="77777777" w:rsidR="00357E0B" w:rsidRDefault="00357E0B" w:rsidP="00862671">
      <w:pPr>
        <w:pStyle w:val="NormaleWeb"/>
        <w:kinsoku w:val="0"/>
        <w:overflowPunct w:val="0"/>
        <w:jc w:val="center"/>
        <w:textAlignment w:val="baseline"/>
        <w:rPr>
          <w:rFonts w:ascii="Arial" w:eastAsia="Open Sans" w:hAnsi="Arial" w:cs="Arial"/>
          <w:b/>
          <w:bCs/>
          <w:smallCaps/>
          <w:color w:val="000000"/>
          <w:kern w:val="24"/>
          <w:sz w:val="23"/>
          <w:szCs w:val="23"/>
        </w:rPr>
      </w:pPr>
      <w:r w:rsidRPr="00862671">
        <w:rPr>
          <w:rFonts w:ascii="Arial" w:eastAsia="Open Sans" w:hAnsi="Arial" w:cs="Arial"/>
          <w:b/>
          <w:bCs/>
          <w:smallCaps/>
          <w:color w:val="000000"/>
          <w:kern w:val="24"/>
          <w:sz w:val="23"/>
          <w:szCs w:val="23"/>
        </w:rPr>
        <w:t>Principali indicatori di bilancio e parametri macroeconomici 2021-2024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6"/>
        <w:gridCol w:w="1145"/>
        <w:gridCol w:w="1145"/>
        <w:gridCol w:w="1381"/>
        <w:gridCol w:w="1381"/>
      </w:tblGrid>
      <w:tr w:rsidR="00357E0B" w:rsidRPr="00862671" w14:paraId="5E197AA2" w14:textId="77777777" w:rsidTr="006706FB">
        <w:trPr>
          <w:trHeight w:val="520"/>
        </w:trPr>
        <w:tc>
          <w:tcPr>
            <w:tcW w:w="2374" w:type="pct"/>
            <w:tcBorders>
              <w:top w:val="single" w:sz="8" w:space="0" w:color="FEFED6"/>
              <w:left w:val="single" w:sz="8" w:space="0" w:color="FEFED6"/>
              <w:bottom w:val="nil"/>
              <w:right w:val="single" w:sz="12" w:space="0" w:color="FFFFFF"/>
            </w:tcBorders>
            <w:shd w:val="clear" w:color="auto" w:fill="E41F1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F0A48" w14:textId="77777777" w:rsidR="00357E0B" w:rsidRPr="00862671" w:rsidRDefault="00357E0B" w:rsidP="00862671">
            <w:pPr>
              <w:jc w:val="center"/>
              <w:textAlignment w:val="center"/>
              <w:rPr>
                <w:rFonts w:ascii="Arial" w:eastAsia="Times New Roman" w:hAnsi="Arial" w:cs="Arial"/>
                <w:sz w:val="23"/>
                <w:szCs w:val="23"/>
                <w:lang w:eastAsia="it-IT"/>
              </w:rPr>
            </w:pPr>
            <w:r w:rsidRPr="00862671">
              <w:rPr>
                <w:rFonts w:ascii="Arial" w:eastAsia="Open Sans" w:hAnsi="Arial" w:cs="Arial"/>
                <w:b/>
                <w:bCs/>
                <w:color w:val="FFFFFF"/>
                <w:kern w:val="24"/>
                <w:sz w:val="23"/>
                <w:szCs w:val="23"/>
                <w:lang w:eastAsia="it-IT"/>
              </w:rPr>
              <w:t>Indicatori</w:t>
            </w:r>
          </w:p>
        </w:tc>
        <w:tc>
          <w:tcPr>
            <w:tcW w:w="595" w:type="pct"/>
            <w:tcBorders>
              <w:top w:val="single" w:sz="8" w:space="0" w:color="FEFED6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41F1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8A4553" w14:textId="77777777" w:rsidR="00357E0B" w:rsidRPr="00862671" w:rsidRDefault="00357E0B" w:rsidP="00862671">
            <w:pPr>
              <w:jc w:val="center"/>
              <w:textAlignment w:val="center"/>
              <w:rPr>
                <w:rFonts w:ascii="Arial" w:eastAsia="Times New Roman" w:hAnsi="Arial" w:cs="Arial"/>
                <w:sz w:val="23"/>
                <w:szCs w:val="23"/>
                <w:lang w:eastAsia="it-IT"/>
              </w:rPr>
            </w:pPr>
            <w:r w:rsidRPr="00862671">
              <w:rPr>
                <w:rFonts w:ascii="Arial" w:eastAsia="Open Sans" w:hAnsi="Arial" w:cs="Arial"/>
                <w:b/>
                <w:bCs/>
                <w:color w:val="FFFFFF"/>
                <w:kern w:val="24"/>
                <w:sz w:val="23"/>
                <w:szCs w:val="23"/>
                <w:lang w:eastAsia="it-IT"/>
              </w:rPr>
              <w:t>2021</w:t>
            </w:r>
          </w:p>
        </w:tc>
        <w:tc>
          <w:tcPr>
            <w:tcW w:w="595" w:type="pct"/>
            <w:tcBorders>
              <w:top w:val="single" w:sz="8" w:space="0" w:color="FEFED6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41F1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23A79" w14:textId="77777777" w:rsidR="00357E0B" w:rsidRPr="00862671" w:rsidRDefault="00357E0B" w:rsidP="00862671">
            <w:pPr>
              <w:jc w:val="center"/>
              <w:textAlignment w:val="center"/>
              <w:rPr>
                <w:rFonts w:ascii="Arial" w:eastAsia="Times New Roman" w:hAnsi="Arial" w:cs="Arial"/>
                <w:sz w:val="23"/>
                <w:szCs w:val="23"/>
                <w:lang w:eastAsia="it-IT"/>
              </w:rPr>
            </w:pPr>
            <w:r w:rsidRPr="00862671">
              <w:rPr>
                <w:rFonts w:ascii="Arial" w:eastAsia="Open Sans" w:hAnsi="Arial" w:cs="Arial"/>
                <w:b/>
                <w:bCs/>
                <w:color w:val="FFFFFF"/>
                <w:kern w:val="24"/>
                <w:sz w:val="23"/>
                <w:szCs w:val="23"/>
                <w:lang w:eastAsia="it-IT"/>
              </w:rPr>
              <w:t>2022</w:t>
            </w:r>
          </w:p>
        </w:tc>
        <w:tc>
          <w:tcPr>
            <w:tcW w:w="718" w:type="pct"/>
            <w:tcBorders>
              <w:top w:val="single" w:sz="8" w:space="0" w:color="FEFED6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E41F1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A0C12" w14:textId="77777777" w:rsidR="00357E0B" w:rsidRPr="00862671" w:rsidRDefault="00357E0B" w:rsidP="00862671">
            <w:pPr>
              <w:jc w:val="center"/>
              <w:textAlignment w:val="center"/>
              <w:rPr>
                <w:rFonts w:ascii="Arial" w:eastAsia="Times New Roman" w:hAnsi="Arial" w:cs="Arial"/>
                <w:sz w:val="23"/>
                <w:szCs w:val="23"/>
                <w:lang w:eastAsia="it-IT"/>
              </w:rPr>
            </w:pPr>
            <w:r w:rsidRPr="00862671">
              <w:rPr>
                <w:rFonts w:ascii="Arial" w:eastAsia="Open Sans" w:hAnsi="Arial" w:cs="Arial"/>
                <w:b/>
                <w:bCs/>
                <w:color w:val="FFFFFF"/>
                <w:kern w:val="24"/>
                <w:sz w:val="23"/>
                <w:szCs w:val="23"/>
                <w:lang w:eastAsia="it-IT"/>
              </w:rPr>
              <w:t>2023*</w:t>
            </w:r>
          </w:p>
        </w:tc>
        <w:tc>
          <w:tcPr>
            <w:tcW w:w="718" w:type="pct"/>
            <w:tcBorders>
              <w:top w:val="single" w:sz="8" w:space="0" w:color="FEFED6"/>
              <w:left w:val="single" w:sz="12" w:space="0" w:color="FFFFFF"/>
              <w:bottom w:val="nil"/>
              <w:right w:val="single" w:sz="8" w:space="0" w:color="FEFED6"/>
            </w:tcBorders>
            <w:shd w:val="clear" w:color="auto" w:fill="E41F1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DFFC2" w14:textId="77777777" w:rsidR="00357E0B" w:rsidRPr="00862671" w:rsidRDefault="00357E0B" w:rsidP="00862671">
            <w:pPr>
              <w:jc w:val="center"/>
              <w:textAlignment w:val="center"/>
              <w:rPr>
                <w:rFonts w:ascii="Arial" w:eastAsia="Times New Roman" w:hAnsi="Arial" w:cs="Arial"/>
                <w:sz w:val="23"/>
                <w:szCs w:val="23"/>
                <w:lang w:eastAsia="it-IT"/>
              </w:rPr>
            </w:pPr>
            <w:r w:rsidRPr="00862671">
              <w:rPr>
                <w:rFonts w:ascii="Arial" w:eastAsia="Open Sans" w:hAnsi="Arial" w:cs="Arial"/>
                <w:b/>
                <w:bCs/>
                <w:color w:val="FFFFFF"/>
                <w:kern w:val="24"/>
                <w:sz w:val="23"/>
                <w:szCs w:val="23"/>
                <w:lang w:eastAsia="it-IT"/>
              </w:rPr>
              <w:t>2024*</w:t>
            </w:r>
          </w:p>
        </w:tc>
      </w:tr>
      <w:tr w:rsidR="00357E0B" w:rsidRPr="00862671" w14:paraId="6F79C387" w14:textId="77777777" w:rsidTr="006706FB">
        <w:trPr>
          <w:trHeight w:val="545"/>
        </w:trPr>
        <w:tc>
          <w:tcPr>
            <w:tcW w:w="2374" w:type="pct"/>
            <w:tcBorders>
              <w:top w:val="nil"/>
              <w:left w:val="nil"/>
              <w:bottom w:val="single" w:sz="4" w:space="0" w:color="E41F13"/>
              <w:right w:val="single" w:sz="12" w:space="0" w:color="FFFFFF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 w14:paraId="12828BCB" w14:textId="77777777" w:rsidR="00357E0B" w:rsidRPr="00862671" w:rsidRDefault="00357E0B" w:rsidP="00862671">
            <w:pPr>
              <w:textAlignment w:val="center"/>
              <w:rPr>
                <w:rFonts w:ascii="Arial" w:eastAsia="Times New Roman" w:hAnsi="Arial" w:cs="Arial"/>
                <w:sz w:val="23"/>
                <w:szCs w:val="23"/>
                <w:lang w:eastAsia="it-IT"/>
              </w:rPr>
            </w:pPr>
            <w:r w:rsidRPr="00862671">
              <w:rPr>
                <w:rFonts w:ascii="Arial" w:eastAsia="Open Sans" w:hAnsi="Arial" w:cs="Arial"/>
                <w:b/>
                <w:bCs/>
                <w:color w:val="333333"/>
                <w:kern w:val="24"/>
                <w:sz w:val="23"/>
                <w:szCs w:val="23"/>
                <w:lang w:eastAsia="it-IT"/>
              </w:rPr>
              <w:t>∆ Ricavi nominali</w:t>
            </w:r>
          </w:p>
        </w:tc>
        <w:tc>
          <w:tcPr>
            <w:tcW w:w="595" w:type="pct"/>
            <w:tcBorders>
              <w:top w:val="nil"/>
              <w:left w:val="single" w:sz="12" w:space="0" w:color="FFFFFF"/>
              <w:bottom w:val="single" w:sz="4" w:space="0" w:color="E41F13"/>
              <w:right w:val="single" w:sz="12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9B6A6" w14:textId="77777777" w:rsidR="00357E0B" w:rsidRPr="00862671" w:rsidRDefault="00357E0B" w:rsidP="00862671">
            <w:pPr>
              <w:jc w:val="center"/>
              <w:textAlignment w:val="center"/>
              <w:rPr>
                <w:rFonts w:ascii="Arial" w:eastAsia="Times New Roman" w:hAnsi="Arial" w:cs="Arial"/>
                <w:sz w:val="23"/>
                <w:szCs w:val="23"/>
                <w:lang w:eastAsia="it-IT"/>
              </w:rPr>
            </w:pPr>
            <w:r w:rsidRPr="00862671">
              <w:rPr>
                <w:rFonts w:ascii="Arial" w:eastAsia="Open Sans" w:hAnsi="Arial" w:cs="Arial"/>
                <w:color w:val="333333"/>
                <w:kern w:val="24"/>
                <w:sz w:val="23"/>
                <w:szCs w:val="23"/>
                <w:lang w:eastAsia="it-IT"/>
              </w:rPr>
              <w:t>25,5%</w:t>
            </w:r>
          </w:p>
        </w:tc>
        <w:tc>
          <w:tcPr>
            <w:tcW w:w="595" w:type="pct"/>
            <w:tcBorders>
              <w:top w:val="nil"/>
              <w:left w:val="single" w:sz="12" w:space="0" w:color="FFFFFF"/>
              <w:bottom w:val="single" w:sz="4" w:space="0" w:color="E41F13"/>
              <w:right w:val="single" w:sz="12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0D839" w14:textId="77777777" w:rsidR="00357E0B" w:rsidRPr="00862671" w:rsidRDefault="00357E0B" w:rsidP="00862671">
            <w:pPr>
              <w:jc w:val="center"/>
              <w:textAlignment w:val="center"/>
              <w:rPr>
                <w:rFonts w:ascii="Arial" w:eastAsia="Times New Roman" w:hAnsi="Arial" w:cs="Arial"/>
                <w:sz w:val="23"/>
                <w:szCs w:val="23"/>
                <w:lang w:eastAsia="it-IT"/>
              </w:rPr>
            </w:pPr>
            <w:r w:rsidRPr="00862671">
              <w:rPr>
                <w:rFonts w:ascii="Arial" w:eastAsia="Open Sans" w:hAnsi="Arial" w:cs="Arial"/>
                <w:color w:val="333333"/>
                <w:kern w:val="24"/>
                <w:sz w:val="23"/>
                <w:szCs w:val="23"/>
                <w:lang w:eastAsia="it-IT"/>
              </w:rPr>
              <w:t>26,1%</w:t>
            </w:r>
          </w:p>
        </w:tc>
        <w:tc>
          <w:tcPr>
            <w:tcW w:w="718" w:type="pct"/>
            <w:tcBorders>
              <w:top w:val="nil"/>
              <w:left w:val="single" w:sz="12" w:space="0" w:color="FFFFFF"/>
              <w:bottom w:val="single" w:sz="4" w:space="0" w:color="E41F13"/>
              <w:right w:val="single" w:sz="12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3B4FC" w14:textId="77777777" w:rsidR="00357E0B" w:rsidRPr="00862671" w:rsidRDefault="00357E0B" w:rsidP="00862671">
            <w:pPr>
              <w:jc w:val="center"/>
              <w:textAlignment w:val="center"/>
              <w:rPr>
                <w:rFonts w:ascii="Arial" w:eastAsia="Times New Roman" w:hAnsi="Arial" w:cs="Arial"/>
                <w:sz w:val="23"/>
                <w:szCs w:val="23"/>
                <w:lang w:eastAsia="it-IT"/>
              </w:rPr>
            </w:pPr>
            <w:r w:rsidRPr="00862671">
              <w:rPr>
                <w:rFonts w:ascii="Arial" w:eastAsia="Open Sans" w:hAnsi="Arial" w:cs="Arial"/>
                <w:color w:val="333333"/>
                <w:kern w:val="24"/>
                <w:sz w:val="23"/>
                <w:szCs w:val="23"/>
                <w:lang w:eastAsia="it-IT"/>
              </w:rPr>
              <w:t>3,1%</w:t>
            </w:r>
          </w:p>
        </w:tc>
        <w:tc>
          <w:tcPr>
            <w:tcW w:w="718" w:type="pct"/>
            <w:tcBorders>
              <w:top w:val="nil"/>
              <w:left w:val="single" w:sz="12" w:space="0" w:color="FFFFFF"/>
              <w:bottom w:val="single" w:sz="4" w:space="0" w:color="E41F13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2FCD2" w14:textId="77777777" w:rsidR="00357E0B" w:rsidRPr="00862671" w:rsidRDefault="00357E0B" w:rsidP="00862671">
            <w:pPr>
              <w:jc w:val="center"/>
              <w:textAlignment w:val="center"/>
              <w:rPr>
                <w:rFonts w:ascii="Arial" w:eastAsia="Times New Roman" w:hAnsi="Arial" w:cs="Arial"/>
                <w:sz w:val="23"/>
                <w:szCs w:val="23"/>
                <w:lang w:eastAsia="it-IT"/>
              </w:rPr>
            </w:pPr>
            <w:r w:rsidRPr="00862671">
              <w:rPr>
                <w:rFonts w:ascii="Arial" w:eastAsia="Open Sans" w:hAnsi="Arial" w:cs="Arial"/>
                <w:color w:val="333333"/>
                <w:kern w:val="24"/>
                <w:sz w:val="23"/>
                <w:szCs w:val="23"/>
                <w:lang w:eastAsia="it-IT"/>
              </w:rPr>
              <w:t>2,2%</w:t>
            </w:r>
          </w:p>
        </w:tc>
      </w:tr>
      <w:tr w:rsidR="00357E0B" w:rsidRPr="00862671" w14:paraId="1F33EA02" w14:textId="77777777" w:rsidTr="006706FB">
        <w:trPr>
          <w:trHeight w:val="520"/>
        </w:trPr>
        <w:tc>
          <w:tcPr>
            <w:tcW w:w="2374" w:type="pct"/>
            <w:tcBorders>
              <w:top w:val="single" w:sz="4" w:space="0" w:color="E41F13"/>
              <w:left w:val="nil"/>
              <w:bottom w:val="single" w:sz="4" w:space="0" w:color="E41F13"/>
              <w:right w:val="single" w:sz="12" w:space="0" w:color="FFFFFF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 w14:paraId="2D4EF793" w14:textId="77777777" w:rsidR="00357E0B" w:rsidRPr="00862671" w:rsidRDefault="00357E0B" w:rsidP="00862671">
            <w:pPr>
              <w:textAlignment w:val="center"/>
              <w:rPr>
                <w:rFonts w:ascii="Arial" w:eastAsia="Times New Roman" w:hAnsi="Arial" w:cs="Arial"/>
                <w:sz w:val="23"/>
                <w:szCs w:val="23"/>
                <w:lang w:eastAsia="it-IT"/>
              </w:rPr>
            </w:pPr>
            <w:r w:rsidRPr="00862671">
              <w:rPr>
                <w:rFonts w:ascii="Arial" w:eastAsia="Open Sans" w:hAnsi="Arial" w:cs="Arial"/>
                <w:b/>
                <w:bCs/>
                <w:color w:val="333333"/>
                <w:kern w:val="24"/>
                <w:sz w:val="23"/>
                <w:szCs w:val="23"/>
                <w:lang w:eastAsia="it-IT"/>
              </w:rPr>
              <w:t>∆ Ricavi reali</w:t>
            </w:r>
          </w:p>
        </w:tc>
        <w:tc>
          <w:tcPr>
            <w:tcW w:w="595" w:type="pct"/>
            <w:tcBorders>
              <w:top w:val="single" w:sz="4" w:space="0" w:color="E41F13"/>
              <w:left w:val="single" w:sz="12" w:space="0" w:color="FFFFFF"/>
              <w:bottom w:val="single" w:sz="4" w:space="0" w:color="E41F13"/>
              <w:right w:val="single" w:sz="12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C7AAC" w14:textId="77777777" w:rsidR="00357E0B" w:rsidRPr="00862671" w:rsidRDefault="00357E0B" w:rsidP="00862671">
            <w:pPr>
              <w:jc w:val="center"/>
              <w:textAlignment w:val="center"/>
              <w:rPr>
                <w:rFonts w:ascii="Arial" w:eastAsia="Times New Roman" w:hAnsi="Arial" w:cs="Arial"/>
                <w:sz w:val="23"/>
                <w:szCs w:val="23"/>
                <w:lang w:eastAsia="it-IT"/>
              </w:rPr>
            </w:pPr>
            <w:r w:rsidRPr="00862671">
              <w:rPr>
                <w:rFonts w:ascii="Arial" w:eastAsia="Open Sans" w:hAnsi="Arial" w:cs="Arial"/>
                <w:color w:val="333333"/>
                <w:kern w:val="24"/>
                <w:sz w:val="23"/>
                <w:szCs w:val="23"/>
                <w:lang w:eastAsia="it-IT"/>
              </w:rPr>
              <w:t>23,6%</w:t>
            </w:r>
          </w:p>
        </w:tc>
        <w:tc>
          <w:tcPr>
            <w:tcW w:w="595" w:type="pct"/>
            <w:tcBorders>
              <w:top w:val="single" w:sz="4" w:space="0" w:color="E41F13"/>
              <w:left w:val="single" w:sz="12" w:space="0" w:color="FFFFFF"/>
              <w:bottom w:val="single" w:sz="4" w:space="0" w:color="E41F13"/>
              <w:right w:val="single" w:sz="12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B0222" w14:textId="77777777" w:rsidR="00357E0B" w:rsidRPr="00862671" w:rsidRDefault="00357E0B" w:rsidP="00862671">
            <w:pPr>
              <w:jc w:val="center"/>
              <w:textAlignment w:val="center"/>
              <w:rPr>
                <w:rFonts w:ascii="Arial" w:eastAsia="Times New Roman" w:hAnsi="Arial" w:cs="Arial"/>
                <w:sz w:val="23"/>
                <w:szCs w:val="23"/>
                <w:lang w:eastAsia="it-IT"/>
              </w:rPr>
            </w:pPr>
            <w:r w:rsidRPr="00862671">
              <w:rPr>
                <w:rFonts w:ascii="Arial" w:eastAsia="Open Sans" w:hAnsi="Arial" w:cs="Arial"/>
                <w:color w:val="333333"/>
                <w:kern w:val="24"/>
                <w:sz w:val="23"/>
                <w:szCs w:val="23"/>
                <w:lang w:eastAsia="it-IT"/>
              </w:rPr>
              <w:t>17,4%</w:t>
            </w:r>
          </w:p>
        </w:tc>
        <w:tc>
          <w:tcPr>
            <w:tcW w:w="718" w:type="pct"/>
            <w:tcBorders>
              <w:top w:val="single" w:sz="4" w:space="0" w:color="E41F13"/>
              <w:left w:val="single" w:sz="12" w:space="0" w:color="FFFFFF"/>
              <w:bottom w:val="single" w:sz="4" w:space="0" w:color="E41F13"/>
              <w:right w:val="single" w:sz="12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DB089" w14:textId="77777777" w:rsidR="00357E0B" w:rsidRPr="00862671" w:rsidRDefault="00357E0B" w:rsidP="00862671">
            <w:pPr>
              <w:jc w:val="center"/>
              <w:textAlignment w:val="center"/>
              <w:rPr>
                <w:rFonts w:ascii="Arial" w:eastAsia="Times New Roman" w:hAnsi="Arial" w:cs="Arial"/>
                <w:sz w:val="23"/>
                <w:szCs w:val="23"/>
                <w:lang w:eastAsia="it-IT"/>
              </w:rPr>
            </w:pPr>
            <w:r w:rsidRPr="00862671">
              <w:rPr>
                <w:rFonts w:ascii="Arial" w:eastAsia="Open Sans" w:hAnsi="Arial" w:cs="Arial"/>
                <w:color w:val="333333"/>
                <w:kern w:val="24"/>
                <w:sz w:val="23"/>
                <w:szCs w:val="23"/>
                <w:lang w:eastAsia="it-IT"/>
              </w:rPr>
              <w:t>-2,8%</w:t>
            </w:r>
          </w:p>
        </w:tc>
        <w:tc>
          <w:tcPr>
            <w:tcW w:w="718" w:type="pct"/>
            <w:tcBorders>
              <w:top w:val="single" w:sz="4" w:space="0" w:color="E41F13"/>
              <w:left w:val="single" w:sz="12" w:space="0" w:color="FFFFFF"/>
              <w:bottom w:val="single" w:sz="4" w:space="0" w:color="E41F13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A5DFA" w14:textId="77777777" w:rsidR="00357E0B" w:rsidRPr="00862671" w:rsidRDefault="00357E0B" w:rsidP="00862671">
            <w:pPr>
              <w:jc w:val="center"/>
              <w:textAlignment w:val="center"/>
              <w:rPr>
                <w:rFonts w:ascii="Arial" w:eastAsia="Times New Roman" w:hAnsi="Arial" w:cs="Arial"/>
                <w:sz w:val="23"/>
                <w:szCs w:val="23"/>
                <w:lang w:eastAsia="it-IT"/>
              </w:rPr>
            </w:pPr>
            <w:r w:rsidRPr="00862671">
              <w:rPr>
                <w:rFonts w:ascii="Arial" w:eastAsia="Open Sans" w:hAnsi="Arial" w:cs="Arial"/>
                <w:color w:val="333333"/>
                <w:kern w:val="24"/>
                <w:sz w:val="23"/>
                <w:szCs w:val="23"/>
                <w:lang w:eastAsia="it-IT"/>
              </w:rPr>
              <w:t>0,2%</w:t>
            </w:r>
          </w:p>
        </w:tc>
      </w:tr>
      <w:tr w:rsidR="00357E0B" w:rsidRPr="00862671" w14:paraId="460277AA" w14:textId="77777777" w:rsidTr="006706FB">
        <w:trPr>
          <w:trHeight w:val="520"/>
        </w:trPr>
        <w:tc>
          <w:tcPr>
            <w:tcW w:w="2374" w:type="pct"/>
            <w:tcBorders>
              <w:top w:val="single" w:sz="4" w:space="0" w:color="E41F13"/>
              <w:left w:val="nil"/>
              <w:bottom w:val="single" w:sz="4" w:space="0" w:color="E41F13"/>
              <w:right w:val="single" w:sz="12" w:space="0" w:color="FFFFFF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 w14:paraId="25A50C52" w14:textId="77777777" w:rsidR="00357E0B" w:rsidRPr="00862671" w:rsidRDefault="00357E0B" w:rsidP="00862671">
            <w:pPr>
              <w:textAlignment w:val="center"/>
              <w:rPr>
                <w:rFonts w:ascii="Arial" w:eastAsia="Times New Roman" w:hAnsi="Arial" w:cs="Arial"/>
                <w:sz w:val="23"/>
                <w:szCs w:val="23"/>
                <w:lang w:eastAsia="it-IT"/>
              </w:rPr>
            </w:pPr>
            <w:r w:rsidRPr="00862671">
              <w:rPr>
                <w:rFonts w:ascii="Arial" w:eastAsia="Open Sans" w:hAnsi="Arial" w:cs="Arial"/>
                <w:b/>
                <w:bCs/>
                <w:color w:val="333333"/>
                <w:kern w:val="24"/>
                <w:sz w:val="23"/>
                <w:szCs w:val="23"/>
                <w:lang w:eastAsia="it-IT"/>
              </w:rPr>
              <w:t>∆ Pil reale</w:t>
            </w:r>
          </w:p>
        </w:tc>
        <w:tc>
          <w:tcPr>
            <w:tcW w:w="595" w:type="pct"/>
            <w:tcBorders>
              <w:top w:val="single" w:sz="4" w:space="0" w:color="E41F13"/>
              <w:left w:val="single" w:sz="12" w:space="0" w:color="FFFFFF"/>
              <w:bottom w:val="single" w:sz="4" w:space="0" w:color="E41F13"/>
              <w:right w:val="single" w:sz="12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6651A" w14:textId="77777777" w:rsidR="00357E0B" w:rsidRPr="00862671" w:rsidRDefault="00357E0B" w:rsidP="00862671">
            <w:pPr>
              <w:jc w:val="center"/>
              <w:textAlignment w:val="center"/>
              <w:rPr>
                <w:rFonts w:ascii="Arial" w:eastAsia="Times New Roman" w:hAnsi="Arial" w:cs="Arial"/>
                <w:sz w:val="23"/>
                <w:szCs w:val="23"/>
                <w:lang w:eastAsia="it-IT"/>
              </w:rPr>
            </w:pPr>
            <w:r w:rsidRPr="00862671">
              <w:rPr>
                <w:rFonts w:ascii="Arial" w:eastAsia="Open Sans" w:hAnsi="Arial" w:cs="Arial"/>
                <w:color w:val="333333"/>
                <w:kern w:val="24"/>
                <w:sz w:val="23"/>
                <w:szCs w:val="23"/>
                <w:lang w:eastAsia="it-IT"/>
              </w:rPr>
              <w:t>8,3%</w:t>
            </w:r>
          </w:p>
        </w:tc>
        <w:tc>
          <w:tcPr>
            <w:tcW w:w="595" w:type="pct"/>
            <w:tcBorders>
              <w:top w:val="single" w:sz="4" w:space="0" w:color="E41F13"/>
              <w:left w:val="single" w:sz="12" w:space="0" w:color="FFFFFF"/>
              <w:bottom w:val="single" w:sz="4" w:space="0" w:color="E41F13"/>
              <w:right w:val="single" w:sz="12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182F2" w14:textId="77777777" w:rsidR="00357E0B" w:rsidRPr="00862671" w:rsidRDefault="00357E0B" w:rsidP="00862671">
            <w:pPr>
              <w:jc w:val="center"/>
              <w:textAlignment w:val="center"/>
              <w:rPr>
                <w:rFonts w:ascii="Arial" w:eastAsia="Times New Roman" w:hAnsi="Arial" w:cs="Arial"/>
                <w:sz w:val="23"/>
                <w:szCs w:val="23"/>
                <w:lang w:eastAsia="it-IT"/>
              </w:rPr>
            </w:pPr>
            <w:r w:rsidRPr="00862671">
              <w:rPr>
                <w:rFonts w:ascii="Arial" w:eastAsia="Open Sans" w:hAnsi="Arial" w:cs="Arial"/>
                <w:color w:val="333333"/>
                <w:kern w:val="24"/>
                <w:sz w:val="23"/>
                <w:szCs w:val="23"/>
                <w:lang w:eastAsia="it-IT"/>
              </w:rPr>
              <w:t>4,0%</w:t>
            </w:r>
          </w:p>
        </w:tc>
        <w:tc>
          <w:tcPr>
            <w:tcW w:w="718" w:type="pct"/>
            <w:tcBorders>
              <w:top w:val="single" w:sz="4" w:space="0" w:color="E41F13"/>
              <w:left w:val="single" w:sz="12" w:space="0" w:color="FFFFFF"/>
              <w:bottom w:val="single" w:sz="4" w:space="0" w:color="E41F13"/>
              <w:right w:val="single" w:sz="12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931FC" w14:textId="77777777" w:rsidR="00357E0B" w:rsidRPr="00862671" w:rsidRDefault="00357E0B" w:rsidP="00862671">
            <w:pPr>
              <w:jc w:val="center"/>
              <w:textAlignment w:val="center"/>
              <w:rPr>
                <w:rFonts w:ascii="Arial" w:eastAsia="Times New Roman" w:hAnsi="Arial" w:cs="Arial"/>
                <w:sz w:val="23"/>
                <w:szCs w:val="23"/>
                <w:lang w:eastAsia="it-IT"/>
              </w:rPr>
            </w:pPr>
            <w:r w:rsidRPr="00862671">
              <w:rPr>
                <w:rFonts w:ascii="Arial" w:eastAsia="Open Sans" w:hAnsi="Arial" w:cs="Arial"/>
                <w:color w:val="333333"/>
                <w:kern w:val="24"/>
                <w:sz w:val="23"/>
                <w:szCs w:val="23"/>
                <w:lang w:eastAsia="it-IT"/>
              </w:rPr>
              <w:t>0,9%</w:t>
            </w:r>
          </w:p>
        </w:tc>
        <w:tc>
          <w:tcPr>
            <w:tcW w:w="718" w:type="pct"/>
            <w:tcBorders>
              <w:top w:val="single" w:sz="4" w:space="0" w:color="E41F13"/>
              <w:left w:val="single" w:sz="12" w:space="0" w:color="FFFFFF"/>
              <w:bottom w:val="single" w:sz="4" w:space="0" w:color="E41F13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F99F6" w14:textId="77777777" w:rsidR="00357E0B" w:rsidRPr="00862671" w:rsidRDefault="00357E0B" w:rsidP="00862671">
            <w:pPr>
              <w:jc w:val="center"/>
              <w:textAlignment w:val="center"/>
              <w:rPr>
                <w:rFonts w:ascii="Arial" w:eastAsia="Times New Roman" w:hAnsi="Arial" w:cs="Arial"/>
                <w:sz w:val="23"/>
                <w:szCs w:val="23"/>
                <w:lang w:eastAsia="it-IT"/>
              </w:rPr>
            </w:pPr>
            <w:r w:rsidRPr="00862671">
              <w:rPr>
                <w:rFonts w:ascii="Arial" w:eastAsia="Open Sans" w:hAnsi="Arial" w:cs="Arial"/>
                <w:color w:val="333333"/>
                <w:kern w:val="24"/>
                <w:sz w:val="23"/>
                <w:szCs w:val="23"/>
                <w:lang w:eastAsia="it-IT"/>
              </w:rPr>
              <w:t>0,7%</w:t>
            </w:r>
          </w:p>
        </w:tc>
      </w:tr>
      <w:tr w:rsidR="00357E0B" w:rsidRPr="00862671" w14:paraId="56EA25E9" w14:textId="77777777" w:rsidTr="006706FB">
        <w:trPr>
          <w:trHeight w:val="520"/>
        </w:trPr>
        <w:tc>
          <w:tcPr>
            <w:tcW w:w="2374" w:type="pct"/>
            <w:tcBorders>
              <w:top w:val="single" w:sz="4" w:space="0" w:color="E41F13"/>
              <w:left w:val="nil"/>
              <w:bottom w:val="nil"/>
              <w:right w:val="single" w:sz="12" w:space="0" w:color="FFFFFF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 w14:paraId="67B593FD" w14:textId="77777777" w:rsidR="00357E0B" w:rsidRPr="00862671" w:rsidRDefault="00357E0B" w:rsidP="00862671">
            <w:pPr>
              <w:textAlignment w:val="center"/>
              <w:rPr>
                <w:rFonts w:ascii="Arial" w:eastAsia="Times New Roman" w:hAnsi="Arial" w:cs="Arial"/>
                <w:sz w:val="23"/>
                <w:szCs w:val="23"/>
                <w:lang w:eastAsia="it-IT"/>
              </w:rPr>
            </w:pPr>
            <w:r w:rsidRPr="00862671">
              <w:rPr>
                <w:rFonts w:ascii="Arial" w:eastAsia="Open Sans" w:hAnsi="Arial" w:cs="Arial"/>
                <w:b/>
                <w:bCs/>
                <w:color w:val="333333"/>
                <w:kern w:val="24"/>
                <w:sz w:val="23"/>
                <w:szCs w:val="23"/>
                <w:lang w:eastAsia="it-IT"/>
              </w:rPr>
              <w:t>Inflazione</w:t>
            </w:r>
          </w:p>
        </w:tc>
        <w:tc>
          <w:tcPr>
            <w:tcW w:w="595" w:type="pct"/>
            <w:tcBorders>
              <w:top w:val="single" w:sz="4" w:space="0" w:color="E41F13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B4BF1" w14:textId="77777777" w:rsidR="00357E0B" w:rsidRPr="00862671" w:rsidRDefault="00357E0B" w:rsidP="00862671">
            <w:pPr>
              <w:jc w:val="center"/>
              <w:textAlignment w:val="center"/>
              <w:rPr>
                <w:rFonts w:ascii="Arial" w:eastAsia="Times New Roman" w:hAnsi="Arial" w:cs="Arial"/>
                <w:sz w:val="23"/>
                <w:szCs w:val="23"/>
                <w:lang w:eastAsia="it-IT"/>
              </w:rPr>
            </w:pPr>
            <w:r w:rsidRPr="00862671">
              <w:rPr>
                <w:rFonts w:ascii="Arial" w:eastAsia="Open Sans" w:hAnsi="Arial" w:cs="Arial"/>
                <w:color w:val="333333"/>
                <w:kern w:val="24"/>
                <w:sz w:val="23"/>
                <w:szCs w:val="23"/>
                <w:lang w:eastAsia="it-IT"/>
              </w:rPr>
              <w:t>1,9%</w:t>
            </w:r>
          </w:p>
        </w:tc>
        <w:tc>
          <w:tcPr>
            <w:tcW w:w="595" w:type="pct"/>
            <w:tcBorders>
              <w:top w:val="single" w:sz="4" w:space="0" w:color="E41F13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4022" w14:textId="77777777" w:rsidR="00357E0B" w:rsidRPr="00862671" w:rsidRDefault="00357E0B" w:rsidP="00862671">
            <w:pPr>
              <w:jc w:val="center"/>
              <w:textAlignment w:val="center"/>
              <w:rPr>
                <w:rFonts w:ascii="Arial" w:eastAsia="Times New Roman" w:hAnsi="Arial" w:cs="Arial"/>
                <w:sz w:val="23"/>
                <w:szCs w:val="23"/>
                <w:lang w:eastAsia="it-IT"/>
              </w:rPr>
            </w:pPr>
            <w:r w:rsidRPr="00862671">
              <w:rPr>
                <w:rFonts w:ascii="Arial" w:eastAsia="Open Sans" w:hAnsi="Arial" w:cs="Arial"/>
                <w:color w:val="333333"/>
                <w:kern w:val="24"/>
                <w:sz w:val="23"/>
                <w:szCs w:val="23"/>
                <w:lang w:eastAsia="it-IT"/>
              </w:rPr>
              <w:t>8,7%</w:t>
            </w:r>
          </w:p>
        </w:tc>
        <w:tc>
          <w:tcPr>
            <w:tcW w:w="718" w:type="pct"/>
            <w:tcBorders>
              <w:top w:val="single" w:sz="4" w:space="0" w:color="E41F13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21B30" w14:textId="77777777" w:rsidR="00357E0B" w:rsidRPr="00862671" w:rsidRDefault="00357E0B" w:rsidP="00862671">
            <w:pPr>
              <w:jc w:val="center"/>
              <w:textAlignment w:val="center"/>
              <w:rPr>
                <w:rFonts w:ascii="Arial" w:eastAsia="Times New Roman" w:hAnsi="Arial" w:cs="Arial"/>
                <w:sz w:val="23"/>
                <w:szCs w:val="23"/>
                <w:lang w:eastAsia="it-IT"/>
              </w:rPr>
            </w:pPr>
            <w:r w:rsidRPr="00862671">
              <w:rPr>
                <w:rFonts w:ascii="Arial" w:eastAsia="Open Sans" w:hAnsi="Arial" w:cs="Arial"/>
                <w:color w:val="333333"/>
                <w:kern w:val="24"/>
                <w:sz w:val="23"/>
                <w:szCs w:val="23"/>
                <w:lang w:eastAsia="it-IT"/>
              </w:rPr>
              <w:t>5,9%</w:t>
            </w:r>
          </w:p>
        </w:tc>
        <w:tc>
          <w:tcPr>
            <w:tcW w:w="718" w:type="pct"/>
            <w:tcBorders>
              <w:top w:val="single" w:sz="4" w:space="0" w:color="E41F13"/>
              <w:left w:val="single" w:sz="12" w:space="0" w:color="FFFFFF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9DB2D" w14:textId="77777777" w:rsidR="00357E0B" w:rsidRPr="00862671" w:rsidRDefault="00357E0B" w:rsidP="00862671">
            <w:pPr>
              <w:jc w:val="center"/>
              <w:textAlignment w:val="center"/>
              <w:rPr>
                <w:rFonts w:ascii="Arial" w:eastAsia="Times New Roman" w:hAnsi="Arial" w:cs="Arial"/>
                <w:sz w:val="23"/>
                <w:szCs w:val="23"/>
                <w:lang w:eastAsia="it-IT"/>
              </w:rPr>
            </w:pPr>
            <w:r w:rsidRPr="00862671">
              <w:rPr>
                <w:rFonts w:ascii="Arial" w:eastAsia="Open Sans" w:hAnsi="Arial" w:cs="Arial"/>
                <w:color w:val="333333"/>
                <w:kern w:val="24"/>
                <w:sz w:val="23"/>
                <w:szCs w:val="23"/>
                <w:lang w:eastAsia="it-IT"/>
              </w:rPr>
              <w:t>2,0%</w:t>
            </w:r>
          </w:p>
        </w:tc>
      </w:tr>
    </w:tbl>
    <w:p w14:paraId="6FBD504E" w14:textId="77777777" w:rsidR="00357E0B" w:rsidRPr="00862671" w:rsidRDefault="00357E0B" w:rsidP="00862671">
      <w:pPr>
        <w:pStyle w:val="NormaleWeb"/>
        <w:kinsoku w:val="0"/>
        <w:overflowPunct w:val="0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862671">
        <w:rPr>
          <w:rFonts w:ascii="Arial" w:eastAsiaTheme="minorEastAsia" w:hAnsi="Arial" w:cs="Arial"/>
          <w:i/>
          <w:iCs/>
          <w:color w:val="000000"/>
          <w:kern w:val="24"/>
          <w:sz w:val="22"/>
          <w:szCs w:val="22"/>
        </w:rPr>
        <w:t>Fonte: Elaborazioni FNC Ricerca su dati Istat, Commissione europea e Banca dati Aida</w:t>
      </w:r>
    </w:p>
    <w:p w14:paraId="4CBEB96B" w14:textId="1C8552B0" w:rsidR="00357E0B" w:rsidRPr="00862671" w:rsidRDefault="00357E0B" w:rsidP="00862671">
      <w:pPr>
        <w:pStyle w:val="NormaleWeb"/>
        <w:kinsoku w:val="0"/>
        <w:overflowPunct w:val="0"/>
        <w:jc w:val="both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862671">
        <w:rPr>
          <w:rFonts w:ascii="Arial" w:eastAsiaTheme="minorEastAsia" w:hAnsi="Arial" w:cs="Arial"/>
          <w:i/>
          <w:iCs/>
          <w:color w:val="000000"/>
          <w:kern w:val="24"/>
          <w:sz w:val="22"/>
          <w:szCs w:val="22"/>
        </w:rPr>
        <w:t>*Il dato relativo ai Ricavi 2023 e 2024 è stimato da FNC Ricerca. I dati relativi a Pil reale e inflazione per il 2024 sono stimati dalla Commissione europea</w:t>
      </w:r>
      <w:r w:rsidR="00862671" w:rsidRPr="00862671">
        <w:rPr>
          <w:rFonts w:ascii="Arial" w:eastAsiaTheme="minorEastAsia" w:hAnsi="Arial" w:cs="Arial"/>
          <w:i/>
          <w:iCs/>
          <w:color w:val="000000"/>
          <w:kern w:val="24"/>
          <w:sz w:val="22"/>
          <w:szCs w:val="22"/>
        </w:rPr>
        <w:t>.</w:t>
      </w:r>
    </w:p>
    <w:p w14:paraId="4BDC2C17" w14:textId="77777777" w:rsidR="00357E0B" w:rsidRPr="00862671" w:rsidRDefault="00357E0B" w:rsidP="00862671">
      <w:pPr>
        <w:jc w:val="both"/>
        <w:rPr>
          <w:rFonts w:ascii="Arial" w:hAnsi="Arial" w:cs="Arial"/>
          <w:b/>
          <w:bCs/>
          <w:sz w:val="23"/>
          <w:szCs w:val="23"/>
        </w:rPr>
      </w:pPr>
    </w:p>
    <w:p w14:paraId="0D053705" w14:textId="7D18A147" w:rsidR="001B64D3" w:rsidRPr="00862671" w:rsidRDefault="001B64D3" w:rsidP="00862671">
      <w:pPr>
        <w:jc w:val="both"/>
        <w:rPr>
          <w:rFonts w:ascii="Arial" w:hAnsi="Arial" w:cs="Arial"/>
          <w:sz w:val="23"/>
          <w:szCs w:val="23"/>
        </w:rPr>
      </w:pPr>
      <w:r w:rsidRPr="00862671">
        <w:rPr>
          <w:rFonts w:ascii="Arial" w:hAnsi="Arial" w:cs="Arial"/>
          <w:b/>
          <w:bCs/>
          <w:sz w:val="23"/>
          <w:szCs w:val="23"/>
        </w:rPr>
        <w:lastRenderedPageBreak/>
        <w:t>Bilanci 2022: principali indicatori.</w:t>
      </w:r>
      <w:r w:rsidRPr="00862671">
        <w:rPr>
          <w:rFonts w:ascii="Arial" w:hAnsi="Arial" w:cs="Arial"/>
          <w:sz w:val="23"/>
          <w:szCs w:val="23"/>
        </w:rPr>
        <w:t xml:space="preserve"> Sulla base di un campione di quasi 700mila bilanci di società di capitali, nel 2022 i dati aggregati indicano un quadro economico positivo che segue gli ottimi risultati fatti registrare nel 2021. </w:t>
      </w:r>
    </w:p>
    <w:p w14:paraId="1C1C7723" w14:textId="77777777" w:rsidR="001B64D3" w:rsidRPr="00862671" w:rsidRDefault="001B64D3" w:rsidP="00862671">
      <w:pPr>
        <w:jc w:val="both"/>
        <w:rPr>
          <w:rFonts w:ascii="Arial" w:hAnsi="Arial" w:cs="Arial"/>
          <w:sz w:val="23"/>
          <w:szCs w:val="23"/>
        </w:rPr>
      </w:pPr>
      <w:r w:rsidRPr="00862671">
        <w:rPr>
          <w:rFonts w:ascii="Arial" w:hAnsi="Arial" w:cs="Arial"/>
          <w:sz w:val="23"/>
          <w:szCs w:val="23"/>
        </w:rPr>
        <w:t xml:space="preserve">A livello aggregato, il valore della produzione per dipendente è pari a 399.746 euro, in aumento del 19,5% rispetto al 2021. Tale incremento supporta anche il risultato operativo, che registra un incremento del 23%, con un valore pari a 20.007 euro, contro i 16.283 del 2021. Nonostante un incremento degli oneri finanziari, il risultato prima delle imposte aumenta fino a raggiungere i 23.392 euro per dipendente (+17,7%). Le imposte sul reddito (sempre rapportate al numero di dipendenti a livello aggregato) crescono del 23,5%, mentre l’utile netto per dipendente raggiunge il valore di 17.229 euro, in aumento del 15,7% rispetto all’anno precedente. </w:t>
      </w:r>
    </w:p>
    <w:p w14:paraId="0B1335A9" w14:textId="77777777" w:rsidR="001B64D3" w:rsidRPr="00862671" w:rsidRDefault="001B64D3" w:rsidP="00862671">
      <w:pPr>
        <w:jc w:val="both"/>
        <w:rPr>
          <w:rFonts w:ascii="Arial" w:hAnsi="Arial" w:cs="Arial"/>
          <w:sz w:val="23"/>
          <w:szCs w:val="23"/>
        </w:rPr>
      </w:pPr>
      <w:r w:rsidRPr="00862671">
        <w:rPr>
          <w:rFonts w:ascii="Arial" w:hAnsi="Arial" w:cs="Arial"/>
          <w:sz w:val="23"/>
          <w:szCs w:val="23"/>
        </w:rPr>
        <w:t xml:space="preserve">Quasi invariato è risultato, invece, il patrimonio netto per dipendente, che ha fatto registrare un incremento dello 0,3%, risultando pari a quasi 207 mila euro, mentre i debiti sono aumentati del 2,1%. In particolare, i debiti bancari sono diminuiti del 3,7%, mentre quelli tributari sono aumentati del 6,8%, con una tendenza all’aumento più accentuata nelle MPMI (mediamente intorno al 9%). </w:t>
      </w:r>
    </w:p>
    <w:p w14:paraId="7AFE53DB" w14:textId="77777777" w:rsidR="001B64D3" w:rsidRPr="00862671" w:rsidRDefault="001B64D3" w:rsidP="00862671">
      <w:pPr>
        <w:jc w:val="both"/>
        <w:rPr>
          <w:rFonts w:ascii="Arial" w:hAnsi="Arial" w:cs="Arial"/>
          <w:sz w:val="23"/>
          <w:szCs w:val="23"/>
        </w:rPr>
      </w:pPr>
      <w:r w:rsidRPr="00862671">
        <w:rPr>
          <w:rFonts w:ascii="Arial" w:hAnsi="Arial" w:cs="Arial"/>
          <w:sz w:val="23"/>
          <w:szCs w:val="23"/>
        </w:rPr>
        <w:t>Da segnalare un forte aumento del risultato operativo tra le grandi imprese (+47,2%) che presentano, però, un valore medio per dipendente più basso rispetto agli altri segmenti dimensionali.</w:t>
      </w:r>
    </w:p>
    <w:p w14:paraId="7DD231EA" w14:textId="77777777" w:rsidR="00357E0B" w:rsidRPr="00862671" w:rsidRDefault="00357E0B" w:rsidP="00862671">
      <w:pPr>
        <w:jc w:val="both"/>
        <w:rPr>
          <w:rFonts w:ascii="Arial" w:hAnsi="Arial" w:cs="Arial"/>
          <w:sz w:val="23"/>
          <w:szCs w:val="23"/>
        </w:rPr>
      </w:pPr>
    </w:p>
    <w:p w14:paraId="09E3F2FF" w14:textId="5CF628E7" w:rsidR="001B64D3" w:rsidRPr="00862671" w:rsidRDefault="001B64D3" w:rsidP="00862671">
      <w:pPr>
        <w:jc w:val="both"/>
        <w:rPr>
          <w:rFonts w:ascii="Arial" w:hAnsi="Arial" w:cs="Arial"/>
          <w:sz w:val="23"/>
          <w:szCs w:val="23"/>
        </w:rPr>
      </w:pPr>
      <w:r w:rsidRPr="00862671">
        <w:rPr>
          <w:rFonts w:ascii="Arial" w:hAnsi="Arial" w:cs="Arial"/>
          <w:b/>
          <w:bCs/>
          <w:sz w:val="23"/>
          <w:szCs w:val="23"/>
        </w:rPr>
        <w:t>Andamento dei ricavi, del valore aggiunto e dei dipendenti.</w:t>
      </w:r>
      <w:r w:rsidRPr="00862671">
        <w:rPr>
          <w:rFonts w:ascii="Arial" w:hAnsi="Arial" w:cs="Arial"/>
          <w:sz w:val="23"/>
          <w:szCs w:val="23"/>
        </w:rPr>
        <w:t xml:space="preserve"> Nel 2022 i dati indicano una crescita del fatturato nominale pari al 26,1% che si traduce in un +16,4% in termini reali, cioè al netto dell’inflazione. La crescita nominale del fatturato è più elevata nelle imprese di maggiori dimensioni, mentre è risultata più elevata nel Centro (+42,3%) rispetto al Sud (+18,7%).  Il valore aggiunto, rappresentato dalla differenza tra valore della produzione e costi esterni, è aumentato del 10,1%. L’incremento di tale indicatore è stato maggiore nelle imprese di minori dimensioni rispetto alle medie e alle grandi. Nel corso del 2022, a fronte dell’aumento del 26,1% del fatturato, il numero totale dei dipendenti occupati nelle società di capitali è aumentato del 5,6%. Nelle grandi imprese (</w:t>
      </w:r>
      <w:r w:rsidR="00F3003A" w:rsidRPr="00862671">
        <w:rPr>
          <w:rFonts w:ascii="Arial" w:hAnsi="Arial" w:cs="Arial"/>
          <w:sz w:val="23"/>
          <w:szCs w:val="23"/>
        </w:rPr>
        <w:t xml:space="preserve">con più di </w:t>
      </w:r>
      <w:r w:rsidRPr="00862671">
        <w:rPr>
          <w:rFonts w:ascii="Arial" w:hAnsi="Arial" w:cs="Arial"/>
          <w:sz w:val="23"/>
          <w:szCs w:val="23"/>
        </w:rPr>
        <w:t>250 dipendenti) si è verificata la crescita più elevata (+9,1%), mentre nelle microimprese (0-9 dipendenti) si è registrato un decremento (-1,9%). Sulla base dei bilanci relativi all’anno 2022, le società in utile sono pari al 75,4% del totale, in decremento rispetto al 2021 (76,8%). La quota di società che presenta un bilancio in utile è più elevata tra le piccole imprese (10-49 dipendenti) (87,6%), mentre la quota più bassa si registra tra le grandi imprese (+250 dipendenti) (71,5%).</w:t>
      </w:r>
    </w:p>
    <w:p w14:paraId="4FC3022F" w14:textId="77777777" w:rsidR="00357E0B" w:rsidRPr="00862671" w:rsidRDefault="00357E0B" w:rsidP="00862671">
      <w:pPr>
        <w:jc w:val="both"/>
        <w:rPr>
          <w:rFonts w:ascii="Arial" w:hAnsi="Arial" w:cs="Arial"/>
          <w:sz w:val="23"/>
          <w:szCs w:val="23"/>
        </w:rPr>
      </w:pPr>
    </w:p>
    <w:p w14:paraId="08EDCCA0" w14:textId="51656A2C" w:rsidR="001B64D3" w:rsidRPr="00862671" w:rsidRDefault="001B64D3" w:rsidP="00862671">
      <w:pPr>
        <w:jc w:val="both"/>
        <w:rPr>
          <w:rFonts w:ascii="Arial" w:hAnsi="Arial" w:cs="Arial"/>
          <w:sz w:val="23"/>
          <w:szCs w:val="23"/>
        </w:rPr>
      </w:pPr>
      <w:r w:rsidRPr="00862671">
        <w:rPr>
          <w:rFonts w:ascii="Arial" w:hAnsi="Arial" w:cs="Arial"/>
          <w:b/>
          <w:bCs/>
          <w:sz w:val="23"/>
          <w:szCs w:val="23"/>
        </w:rPr>
        <w:t>I settori di attività.</w:t>
      </w:r>
      <w:r w:rsidRPr="00862671">
        <w:rPr>
          <w:rFonts w:ascii="Arial" w:hAnsi="Arial" w:cs="Arial"/>
          <w:sz w:val="23"/>
          <w:szCs w:val="23"/>
        </w:rPr>
        <w:t xml:space="preserve"> Con riferimento ai settori di attività economica, nel 2022, si va dal +78,8% del settore «Energia, acqua e rifiuti» al +3,4% del settore «Attività sportive». Da segnalare «Information </w:t>
      </w:r>
      <w:proofErr w:type="spellStart"/>
      <w:r w:rsidRPr="00862671">
        <w:rPr>
          <w:rFonts w:ascii="Arial" w:hAnsi="Arial" w:cs="Arial"/>
          <w:sz w:val="23"/>
          <w:szCs w:val="23"/>
        </w:rPr>
        <w:t>technology</w:t>
      </w:r>
      <w:proofErr w:type="spellEnd"/>
      <w:r w:rsidRPr="00862671">
        <w:rPr>
          <w:rFonts w:ascii="Arial" w:hAnsi="Arial" w:cs="Arial"/>
          <w:sz w:val="23"/>
          <w:szCs w:val="23"/>
        </w:rPr>
        <w:t>» e «Servizi professionali e altri servizi» con tassi di crescita superiori al 30%. Alcuni settori mostrano percentuali comprese tra il 20 e il 30%: Industria manifatturiera (+22,5%), Commercio (+23%), Altre attività di servizi alla persona (+21,2%).  Diversi settori presentano tassi di crescita del fatturato tra</w:t>
      </w:r>
      <w:r w:rsidR="00451A81">
        <w:rPr>
          <w:rFonts w:ascii="Arial" w:hAnsi="Arial" w:cs="Arial"/>
          <w:sz w:val="23"/>
          <w:szCs w:val="23"/>
        </w:rPr>
        <w:t xml:space="preserve"> il</w:t>
      </w:r>
      <w:r w:rsidRPr="00862671">
        <w:rPr>
          <w:rFonts w:ascii="Arial" w:hAnsi="Arial" w:cs="Arial"/>
          <w:sz w:val="23"/>
          <w:szCs w:val="23"/>
        </w:rPr>
        <w:t xml:space="preserve"> 10 e</w:t>
      </w:r>
      <w:r w:rsidR="00451A81">
        <w:rPr>
          <w:rFonts w:ascii="Arial" w:hAnsi="Arial" w:cs="Arial"/>
          <w:sz w:val="23"/>
          <w:szCs w:val="23"/>
        </w:rPr>
        <w:t xml:space="preserve"> il</w:t>
      </w:r>
      <w:r w:rsidRPr="00862671">
        <w:rPr>
          <w:rFonts w:ascii="Arial" w:hAnsi="Arial" w:cs="Arial"/>
          <w:sz w:val="23"/>
          <w:szCs w:val="23"/>
        </w:rPr>
        <w:t xml:space="preserve"> 20%: «Agricoltura, Industria estrattiva», «Riparazioni meccaniche e di macchinari», «Costruzioni», «Trasporti e logistica», «Ristoranti e alberghi», «Sanità», «Arte e cultura». I settori con tassi di crescita del fatturato inferiori al 10%, ma comunque positivi, sono, oltre alle «Attività sportive», «Editoria, Cinema e telecomunicazioni» (+4,5%), «Attività immobiliari» (+5,9%), «Istruzione» (+8,1%).</w:t>
      </w:r>
    </w:p>
    <w:p w14:paraId="25BF49EF" w14:textId="77777777" w:rsidR="00357E0B" w:rsidRPr="00862671" w:rsidRDefault="00357E0B" w:rsidP="00862671">
      <w:pPr>
        <w:jc w:val="both"/>
        <w:rPr>
          <w:rFonts w:ascii="Arial" w:hAnsi="Arial" w:cs="Arial"/>
          <w:sz w:val="23"/>
          <w:szCs w:val="23"/>
        </w:rPr>
      </w:pPr>
    </w:p>
    <w:p w14:paraId="25CFBB24" w14:textId="77777777" w:rsidR="001B64D3" w:rsidRPr="00862671" w:rsidRDefault="001B64D3" w:rsidP="00862671">
      <w:pPr>
        <w:jc w:val="both"/>
        <w:rPr>
          <w:rFonts w:ascii="Arial" w:hAnsi="Arial" w:cs="Arial"/>
          <w:sz w:val="23"/>
          <w:szCs w:val="23"/>
        </w:rPr>
      </w:pPr>
      <w:r w:rsidRPr="00862671">
        <w:rPr>
          <w:rFonts w:ascii="Arial" w:hAnsi="Arial" w:cs="Arial"/>
          <w:b/>
          <w:bCs/>
          <w:sz w:val="23"/>
          <w:szCs w:val="23"/>
        </w:rPr>
        <w:t>I ricavi a livello territoriale.</w:t>
      </w:r>
      <w:r w:rsidRPr="00862671">
        <w:rPr>
          <w:rFonts w:ascii="Arial" w:hAnsi="Arial" w:cs="Arial"/>
          <w:sz w:val="23"/>
          <w:szCs w:val="23"/>
        </w:rPr>
        <w:t xml:space="preserve"> A livello territoriale, le regioni che fanno registrare la crescita più elevata dei ricavi sono Lazio (+53,6%), Valle d’Aosta (+42,8%) e Sardegna (+42,5%). Le regioni con la crescita dei ricavi più bassa sono Umbria (+12%), Marche (+16%) e Piemonte (+16,4%). Invece, le province con la crescita dei ricavi più elevata sono Siracusa (+153%), Latina (+63,4%) e Cagliari (+60,4%). </w:t>
      </w:r>
    </w:p>
    <w:p w14:paraId="062E5511" w14:textId="77777777" w:rsidR="00357E0B" w:rsidRPr="00862671" w:rsidRDefault="00357E0B" w:rsidP="00862671">
      <w:pPr>
        <w:jc w:val="both"/>
        <w:rPr>
          <w:rFonts w:ascii="Arial" w:hAnsi="Arial" w:cs="Arial"/>
          <w:sz w:val="23"/>
          <w:szCs w:val="23"/>
        </w:rPr>
      </w:pPr>
    </w:p>
    <w:p w14:paraId="2D4B2394" w14:textId="661FF656" w:rsidR="001B64D3" w:rsidRPr="00862671" w:rsidRDefault="001B64D3" w:rsidP="00862671">
      <w:pPr>
        <w:jc w:val="both"/>
        <w:rPr>
          <w:rFonts w:ascii="Arial" w:hAnsi="Arial" w:cs="Arial"/>
          <w:sz w:val="23"/>
          <w:szCs w:val="23"/>
        </w:rPr>
      </w:pPr>
      <w:r w:rsidRPr="00862671">
        <w:rPr>
          <w:rFonts w:ascii="Arial" w:hAnsi="Arial" w:cs="Arial"/>
          <w:b/>
          <w:bCs/>
          <w:sz w:val="23"/>
          <w:szCs w:val="23"/>
        </w:rPr>
        <w:t>L’andamento dei dipendenti a livello territoriale.</w:t>
      </w:r>
      <w:r w:rsidRPr="00862671">
        <w:rPr>
          <w:rFonts w:ascii="Arial" w:hAnsi="Arial" w:cs="Arial"/>
          <w:sz w:val="23"/>
          <w:szCs w:val="23"/>
        </w:rPr>
        <w:t xml:space="preserve"> Per quanto riguarda i dipendenti, le regioni con la crescita più elevata sono nel Sud e sono Calabria (+12,7%) e Sicilia (+8,1%), mentre altre due regioni del Sud fanno registrare il calo maggiore e sono Basilicata (-8,6%) e Molise (-4,6%). Tra le province, Sondrio fa registrare una crescita molto elevata (+284,8%) seguita da Agrigento (+28,4%) e Cosenza (+25,7%). Le province con un calo dei dipendenti sono Potenza (-13,8%), Campobasso (-11,3%), Nuoro (-9,7%), Siracusa (-9,4%), Salerno (-2,4%) e Benevento (-1,2%). </w:t>
      </w:r>
    </w:p>
    <w:p w14:paraId="2BF22670" w14:textId="77777777" w:rsidR="00357E0B" w:rsidRPr="00862671" w:rsidRDefault="00357E0B" w:rsidP="00862671">
      <w:pPr>
        <w:jc w:val="both"/>
        <w:rPr>
          <w:rFonts w:ascii="Arial" w:hAnsi="Arial" w:cs="Arial"/>
          <w:sz w:val="23"/>
          <w:szCs w:val="23"/>
        </w:rPr>
      </w:pPr>
    </w:p>
    <w:p w14:paraId="36A0B3E4" w14:textId="77777777" w:rsidR="001B64D3" w:rsidRPr="00862671" w:rsidRDefault="001B64D3" w:rsidP="00862671">
      <w:pPr>
        <w:jc w:val="both"/>
        <w:rPr>
          <w:rFonts w:ascii="Arial" w:hAnsi="Arial" w:cs="Arial"/>
          <w:sz w:val="23"/>
          <w:szCs w:val="23"/>
        </w:rPr>
      </w:pPr>
      <w:r w:rsidRPr="00862671">
        <w:rPr>
          <w:rFonts w:ascii="Arial" w:hAnsi="Arial" w:cs="Arial"/>
          <w:b/>
          <w:bCs/>
          <w:sz w:val="23"/>
          <w:szCs w:val="23"/>
        </w:rPr>
        <w:t>Le imprese che chiudono il bilancio in utile.</w:t>
      </w:r>
      <w:r w:rsidRPr="00862671">
        <w:rPr>
          <w:rFonts w:ascii="Arial" w:hAnsi="Arial" w:cs="Arial"/>
          <w:sz w:val="23"/>
          <w:szCs w:val="23"/>
        </w:rPr>
        <w:t xml:space="preserve"> Infine, la Campania è la regione con la quota di società in utile più elevata (78,1%), mentre il Lazio è la regione con la quota più bassa (69,4%). Tra le province, quelle con la quota più alta di società in utile sono Salerno (79,6%), Belluno (79,5%) e Caserta (78,7%). Le province con la quota più bassa di società in utile sono Grosseto (64,7%), Imperia (66%) e Savona (66,5%).</w:t>
      </w:r>
    </w:p>
    <w:p w14:paraId="4E220479" w14:textId="77777777" w:rsidR="001B64D3" w:rsidRPr="00862671" w:rsidRDefault="001B64D3" w:rsidP="00862671">
      <w:pPr>
        <w:jc w:val="both"/>
        <w:rPr>
          <w:rFonts w:ascii="Arial" w:hAnsi="Arial" w:cs="Arial"/>
          <w:sz w:val="23"/>
          <w:szCs w:val="23"/>
        </w:rPr>
      </w:pPr>
      <w:r w:rsidRPr="00862671">
        <w:rPr>
          <w:rFonts w:ascii="Arial" w:hAnsi="Arial" w:cs="Arial"/>
          <w:sz w:val="23"/>
          <w:szCs w:val="23"/>
        </w:rPr>
        <w:t xml:space="preserve">Nel documento, oltre ai dati territoriali per livello provinciale e ai dati settoriali per 20 diversi comparti di attività economica, sono riportati anche alcuni indici di bilancio per una serie di </w:t>
      </w:r>
      <w:proofErr w:type="spellStart"/>
      <w:r w:rsidRPr="00862671">
        <w:rPr>
          <w:rFonts w:ascii="Arial" w:hAnsi="Arial" w:cs="Arial"/>
          <w:sz w:val="23"/>
          <w:szCs w:val="23"/>
        </w:rPr>
        <w:t>microsettori</w:t>
      </w:r>
      <w:proofErr w:type="spellEnd"/>
      <w:r w:rsidRPr="00862671">
        <w:rPr>
          <w:rFonts w:ascii="Arial" w:hAnsi="Arial" w:cs="Arial"/>
          <w:sz w:val="23"/>
          <w:szCs w:val="23"/>
        </w:rPr>
        <w:t xml:space="preserve"> di attività economica. </w:t>
      </w:r>
    </w:p>
    <w:p w14:paraId="7A6130C2" w14:textId="77777777" w:rsidR="00357E0B" w:rsidRPr="00862671" w:rsidRDefault="00357E0B" w:rsidP="00862671">
      <w:pPr>
        <w:jc w:val="both"/>
        <w:rPr>
          <w:rFonts w:ascii="Arial" w:hAnsi="Arial" w:cs="Arial"/>
          <w:sz w:val="23"/>
          <w:szCs w:val="23"/>
        </w:rPr>
      </w:pPr>
    </w:p>
    <w:p w14:paraId="0A127D36" w14:textId="192C7631" w:rsidR="001B64D3" w:rsidRPr="00862671" w:rsidRDefault="00357E0B" w:rsidP="00862671">
      <w:pPr>
        <w:jc w:val="both"/>
        <w:rPr>
          <w:rFonts w:ascii="Arial" w:hAnsi="Arial" w:cs="Arial"/>
          <w:sz w:val="23"/>
          <w:szCs w:val="23"/>
        </w:rPr>
      </w:pPr>
      <w:r w:rsidRPr="00862671">
        <w:rPr>
          <w:rFonts w:ascii="Arial" w:hAnsi="Arial" w:cs="Arial"/>
          <w:sz w:val="23"/>
          <w:szCs w:val="23"/>
        </w:rPr>
        <w:t>“</w:t>
      </w:r>
      <w:r w:rsidR="001B64D3" w:rsidRPr="00862671">
        <w:rPr>
          <w:rFonts w:ascii="Arial" w:hAnsi="Arial" w:cs="Arial"/>
          <w:sz w:val="23"/>
          <w:szCs w:val="23"/>
        </w:rPr>
        <w:t xml:space="preserve">Dopo la grande ripresa </w:t>
      </w:r>
      <w:r w:rsidR="006D090E" w:rsidRPr="00862671">
        <w:rPr>
          <w:rFonts w:ascii="Arial" w:hAnsi="Arial" w:cs="Arial"/>
          <w:sz w:val="23"/>
          <w:szCs w:val="23"/>
        </w:rPr>
        <w:t>post-Covid</w:t>
      </w:r>
      <w:r w:rsidR="001B64D3" w:rsidRPr="00862671">
        <w:rPr>
          <w:rFonts w:ascii="Arial" w:hAnsi="Arial" w:cs="Arial"/>
          <w:sz w:val="23"/>
          <w:szCs w:val="23"/>
        </w:rPr>
        <w:t xml:space="preserve"> del biennio 2021-2022</w:t>
      </w:r>
      <w:r w:rsidRPr="00862671">
        <w:rPr>
          <w:rFonts w:ascii="Arial" w:hAnsi="Arial" w:cs="Arial"/>
          <w:sz w:val="23"/>
          <w:szCs w:val="23"/>
        </w:rPr>
        <w:t xml:space="preserve"> – commenta il </w:t>
      </w:r>
      <w:r w:rsidR="006D090E" w:rsidRPr="00862671">
        <w:rPr>
          <w:rFonts w:ascii="Arial" w:hAnsi="Arial" w:cs="Arial"/>
          <w:sz w:val="23"/>
          <w:szCs w:val="23"/>
        </w:rPr>
        <w:t>presidente</w:t>
      </w:r>
      <w:r w:rsidRPr="00862671">
        <w:rPr>
          <w:rFonts w:ascii="Arial" w:hAnsi="Arial" w:cs="Arial"/>
          <w:sz w:val="23"/>
          <w:szCs w:val="23"/>
        </w:rPr>
        <w:t xml:space="preserve"> del Consiglio nazionale dei commercialisti, </w:t>
      </w:r>
      <w:r w:rsidRPr="00862671">
        <w:rPr>
          <w:rFonts w:ascii="Arial" w:hAnsi="Arial" w:cs="Arial"/>
          <w:b/>
          <w:bCs/>
          <w:sz w:val="23"/>
          <w:szCs w:val="23"/>
        </w:rPr>
        <w:t>Elbano de Nuccio</w:t>
      </w:r>
      <w:r w:rsidRPr="00862671">
        <w:rPr>
          <w:rFonts w:ascii="Arial" w:hAnsi="Arial" w:cs="Arial"/>
          <w:sz w:val="23"/>
          <w:szCs w:val="23"/>
        </w:rPr>
        <w:t xml:space="preserve"> </w:t>
      </w:r>
      <w:r w:rsidR="00451A81">
        <w:rPr>
          <w:rFonts w:ascii="Arial" w:hAnsi="Arial" w:cs="Arial"/>
          <w:sz w:val="23"/>
          <w:szCs w:val="23"/>
        </w:rPr>
        <w:t>–,</w:t>
      </w:r>
      <w:r w:rsidRPr="00862671">
        <w:rPr>
          <w:rFonts w:ascii="Arial" w:hAnsi="Arial" w:cs="Arial"/>
          <w:sz w:val="23"/>
          <w:szCs w:val="23"/>
        </w:rPr>
        <w:t xml:space="preserve"> </w:t>
      </w:r>
      <w:r w:rsidR="001B64D3" w:rsidRPr="00862671">
        <w:rPr>
          <w:rFonts w:ascii="Arial" w:hAnsi="Arial" w:cs="Arial"/>
          <w:sz w:val="23"/>
          <w:szCs w:val="23"/>
        </w:rPr>
        <w:t>che insieme alla crescita del fatturato ha visto un miglioramento complessivo delle condizioni economiche e finanziarie delle società osservate, nel biennio 2023-2024 assisteremo ad una fase di contenimento, che in alcuni casi potrebbe determinare anche situazioni di crisi</w:t>
      </w:r>
      <w:r w:rsidR="006D090E" w:rsidRPr="00862671">
        <w:rPr>
          <w:rFonts w:ascii="Arial" w:hAnsi="Arial" w:cs="Arial"/>
          <w:sz w:val="23"/>
          <w:szCs w:val="23"/>
        </w:rPr>
        <w:t>.</w:t>
      </w:r>
      <w:r w:rsidR="001B64D3" w:rsidRPr="00862671">
        <w:rPr>
          <w:rFonts w:ascii="Arial" w:hAnsi="Arial" w:cs="Arial"/>
          <w:sz w:val="23"/>
          <w:szCs w:val="23"/>
        </w:rPr>
        <w:t xml:space="preserve"> Nella fotografia scattata sul 2022, l’Osservatorio della </w:t>
      </w:r>
      <w:r w:rsidR="00FE78CD" w:rsidRPr="00862671">
        <w:rPr>
          <w:rFonts w:ascii="Arial" w:hAnsi="Arial" w:cs="Arial"/>
          <w:sz w:val="23"/>
          <w:szCs w:val="23"/>
        </w:rPr>
        <w:t xml:space="preserve">nostra </w:t>
      </w:r>
      <w:r w:rsidR="001B64D3" w:rsidRPr="00862671">
        <w:rPr>
          <w:rFonts w:ascii="Arial" w:hAnsi="Arial" w:cs="Arial"/>
          <w:sz w:val="23"/>
          <w:szCs w:val="23"/>
        </w:rPr>
        <w:t>F</w:t>
      </w:r>
      <w:r w:rsidR="00FE78CD" w:rsidRPr="00862671">
        <w:rPr>
          <w:rFonts w:ascii="Arial" w:hAnsi="Arial" w:cs="Arial"/>
          <w:sz w:val="23"/>
          <w:szCs w:val="23"/>
        </w:rPr>
        <w:t>ondazione nazionale</w:t>
      </w:r>
      <w:r w:rsidR="001B64D3" w:rsidRPr="00862671">
        <w:rPr>
          <w:rFonts w:ascii="Arial" w:hAnsi="Arial" w:cs="Arial"/>
          <w:sz w:val="23"/>
          <w:szCs w:val="23"/>
        </w:rPr>
        <w:t xml:space="preserve"> ci restituisce, infatti, un’immagine solida delle società di capitali italiane che, nel biennio </w:t>
      </w:r>
      <w:r w:rsidR="006D090E" w:rsidRPr="00862671">
        <w:rPr>
          <w:rFonts w:ascii="Arial" w:hAnsi="Arial" w:cs="Arial"/>
          <w:sz w:val="23"/>
          <w:szCs w:val="23"/>
        </w:rPr>
        <w:t>post-Covid</w:t>
      </w:r>
      <w:r w:rsidR="001B64D3" w:rsidRPr="00862671">
        <w:rPr>
          <w:rFonts w:ascii="Arial" w:hAnsi="Arial" w:cs="Arial"/>
          <w:sz w:val="23"/>
          <w:szCs w:val="23"/>
        </w:rPr>
        <w:t>, hanno sperimentato un buon recupero sia dell’attività che dei margini</w:t>
      </w:r>
      <w:r w:rsidR="006D090E" w:rsidRPr="00862671">
        <w:rPr>
          <w:rFonts w:ascii="Arial" w:hAnsi="Arial" w:cs="Arial"/>
          <w:sz w:val="23"/>
          <w:szCs w:val="23"/>
        </w:rPr>
        <w:t>”</w:t>
      </w:r>
      <w:r w:rsidR="001B64D3" w:rsidRPr="00862671">
        <w:rPr>
          <w:rFonts w:ascii="Arial" w:hAnsi="Arial" w:cs="Arial"/>
          <w:sz w:val="23"/>
          <w:szCs w:val="23"/>
        </w:rPr>
        <w:t xml:space="preserve">. </w:t>
      </w:r>
      <w:r w:rsidR="006D090E" w:rsidRPr="00862671">
        <w:rPr>
          <w:rFonts w:ascii="Arial" w:hAnsi="Arial" w:cs="Arial"/>
          <w:sz w:val="23"/>
          <w:szCs w:val="23"/>
        </w:rPr>
        <w:t>Secondo il numero uno dei commercialisti “il</w:t>
      </w:r>
      <w:r w:rsidR="001B64D3" w:rsidRPr="00862671">
        <w:rPr>
          <w:rFonts w:ascii="Arial" w:hAnsi="Arial" w:cs="Arial"/>
          <w:sz w:val="23"/>
          <w:szCs w:val="23"/>
        </w:rPr>
        <w:t xml:space="preserve"> rallentamento in corso, che interessa il biennio 2023-2024, non dovrebbe tramutarsi in una crisi generalizzata, ma sarà molto importante tenere sotto controllo i principali indicatori economici e finanziari delle imprese che, in alcuni casi, potrebbero incappare in situazioni problematiche. Pertanto, il livello di monitoraggio dovrà necessariamente divenire più stringente e i sistemi di controllo e prevenzione dovranno supportare un’attività di sorveglianza più mirata</w:t>
      </w:r>
      <w:r w:rsidR="006D090E" w:rsidRPr="00862671">
        <w:rPr>
          <w:rFonts w:ascii="Arial" w:hAnsi="Arial" w:cs="Arial"/>
          <w:sz w:val="23"/>
          <w:szCs w:val="23"/>
        </w:rPr>
        <w:t>”</w:t>
      </w:r>
      <w:r w:rsidR="001B64D3" w:rsidRPr="00862671">
        <w:rPr>
          <w:rFonts w:ascii="Arial" w:hAnsi="Arial" w:cs="Arial"/>
          <w:sz w:val="23"/>
          <w:szCs w:val="23"/>
        </w:rPr>
        <w:t>.</w:t>
      </w:r>
    </w:p>
    <w:p w14:paraId="025A3FA3" w14:textId="77777777" w:rsidR="001B64D3" w:rsidRPr="00862671" w:rsidRDefault="001B64D3" w:rsidP="00862671">
      <w:pPr>
        <w:jc w:val="both"/>
        <w:rPr>
          <w:rFonts w:ascii="Arial" w:hAnsi="Arial" w:cs="Arial"/>
          <w:sz w:val="23"/>
          <w:szCs w:val="23"/>
        </w:rPr>
      </w:pPr>
    </w:p>
    <w:p w14:paraId="09CF6AD9" w14:textId="4786D3F9" w:rsidR="00EE5E61" w:rsidRPr="00862671" w:rsidRDefault="00EE5E61" w:rsidP="00862671">
      <w:pPr>
        <w:jc w:val="center"/>
        <w:rPr>
          <w:rFonts w:ascii="Arial" w:hAnsi="Arial" w:cs="Arial"/>
          <w:sz w:val="23"/>
          <w:szCs w:val="23"/>
        </w:rPr>
      </w:pPr>
    </w:p>
    <w:sectPr w:rsidR="00EE5E61" w:rsidRPr="0086267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5F9B7" w14:textId="77777777" w:rsidR="00931E1B" w:rsidRDefault="00931E1B" w:rsidP="00A25D50">
      <w:r>
        <w:separator/>
      </w:r>
    </w:p>
  </w:endnote>
  <w:endnote w:type="continuationSeparator" w:id="0">
    <w:p w14:paraId="21D585C0" w14:textId="77777777" w:rsidR="00931E1B" w:rsidRDefault="00931E1B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B6524" w14:textId="77777777" w:rsidR="00931E1B" w:rsidRDefault="00931E1B" w:rsidP="00A25D50">
      <w:r>
        <w:separator/>
      </w:r>
    </w:p>
  </w:footnote>
  <w:footnote w:type="continuationSeparator" w:id="0">
    <w:p w14:paraId="1705C52C" w14:textId="77777777" w:rsidR="00931E1B" w:rsidRDefault="00931E1B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3B37B2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595580B3" wp14:editId="284DCDD6">
          <wp:extent cx="2926080" cy="993913"/>
          <wp:effectExtent l="0" t="0" r="0" b="0"/>
          <wp:docPr id="2112599317" name="Immagine 2112599317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F141D"/>
    <w:multiLevelType w:val="hybridMultilevel"/>
    <w:tmpl w:val="D89EE7F0"/>
    <w:lvl w:ilvl="0" w:tplc="83E0AE06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7AFC8288">
      <w:start w:val="1"/>
      <w:numFmt w:val="bullet"/>
      <w:lvlText w:val=""/>
      <w:lvlJc w:val="left"/>
      <w:pPr>
        <w:ind w:left="1790" w:hanging="71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C0E7F"/>
    <w:multiLevelType w:val="hybridMultilevel"/>
    <w:tmpl w:val="FF7E0C30"/>
    <w:lvl w:ilvl="0" w:tplc="0ABAF910">
      <w:start w:val="1"/>
      <w:numFmt w:val="decimal"/>
      <w:lvlText w:val="%1."/>
      <w:lvlJc w:val="left"/>
      <w:pPr>
        <w:ind w:left="3621" w:hanging="360"/>
      </w:pPr>
      <w:rPr>
        <w:rFonts w:hint="default"/>
        <w:b/>
        <w:bCs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C0185"/>
    <w:multiLevelType w:val="hybridMultilevel"/>
    <w:tmpl w:val="573898F8"/>
    <w:lvl w:ilvl="0" w:tplc="6E6EF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8211">
    <w:abstractNumId w:val="3"/>
  </w:num>
  <w:num w:numId="2" w16cid:durableId="1968778961">
    <w:abstractNumId w:val="0"/>
  </w:num>
  <w:num w:numId="3" w16cid:durableId="1949697643">
    <w:abstractNumId w:val="1"/>
  </w:num>
  <w:num w:numId="4" w16cid:durableId="285704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07C23"/>
    <w:rsid w:val="00012E93"/>
    <w:rsid w:val="000256A1"/>
    <w:rsid w:val="00027BE3"/>
    <w:rsid w:val="00041437"/>
    <w:rsid w:val="00051B2D"/>
    <w:rsid w:val="000555C2"/>
    <w:rsid w:val="00055C12"/>
    <w:rsid w:val="00071CF9"/>
    <w:rsid w:val="00074F9D"/>
    <w:rsid w:val="00080E29"/>
    <w:rsid w:val="0009108B"/>
    <w:rsid w:val="000A3C95"/>
    <w:rsid w:val="000A3D02"/>
    <w:rsid w:val="000B23B8"/>
    <w:rsid w:val="000C2587"/>
    <w:rsid w:val="000C4581"/>
    <w:rsid w:val="000D1140"/>
    <w:rsid w:val="000D46D2"/>
    <w:rsid w:val="000F1CA8"/>
    <w:rsid w:val="000F33BB"/>
    <w:rsid w:val="000F659E"/>
    <w:rsid w:val="001072C8"/>
    <w:rsid w:val="0011126C"/>
    <w:rsid w:val="00111CF5"/>
    <w:rsid w:val="001271ED"/>
    <w:rsid w:val="00127A00"/>
    <w:rsid w:val="00136CF7"/>
    <w:rsid w:val="001447D0"/>
    <w:rsid w:val="00155682"/>
    <w:rsid w:val="001568B1"/>
    <w:rsid w:val="00164C51"/>
    <w:rsid w:val="00177F55"/>
    <w:rsid w:val="0018410F"/>
    <w:rsid w:val="001A0044"/>
    <w:rsid w:val="001A6EDF"/>
    <w:rsid w:val="001B64D3"/>
    <w:rsid w:val="001C4D6B"/>
    <w:rsid w:val="001D3F66"/>
    <w:rsid w:val="001D48AE"/>
    <w:rsid w:val="001E0307"/>
    <w:rsid w:val="001E2682"/>
    <w:rsid w:val="001E4EF0"/>
    <w:rsid w:val="001F21E4"/>
    <w:rsid w:val="001F399E"/>
    <w:rsid w:val="001F5831"/>
    <w:rsid w:val="0020469F"/>
    <w:rsid w:val="00204F62"/>
    <w:rsid w:val="00216437"/>
    <w:rsid w:val="0022126A"/>
    <w:rsid w:val="0023378D"/>
    <w:rsid w:val="00237EC9"/>
    <w:rsid w:val="0024253C"/>
    <w:rsid w:val="00242B1F"/>
    <w:rsid w:val="00243892"/>
    <w:rsid w:val="00243F31"/>
    <w:rsid w:val="002647CB"/>
    <w:rsid w:val="00267E62"/>
    <w:rsid w:val="00277377"/>
    <w:rsid w:val="0029043A"/>
    <w:rsid w:val="00297E48"/>
    <w:rsid w:val="002A143A"/>
    <w:rsid w:val="002A46B8"/>
    <w:rsid w:val="002A74FE"/>
    <w:rsid w:val="002B687E"/>
    <w:rsid w:val="002B7D2B"/>
    <w:rsid w:val="002F0117"/>
    <w:rsid w:val="003002C5"/>
    <w:rsid w:val="003059CF"/>
    <w:rsid w:val="0031113D"/>
    <w:rsid w:val="00333A0F"/>
    <w:rsid w:val="0034189F"/>
    <w:rsid w:val="00347274"/>
    <w:rsid w:val="00356418"/>
    <w:rsid w:val="00357E0B"/>
    <w:rsid w:val="003606F3"/>
    <w:rsid w:val="00365441"/>
    <w:rsid w:val="00374AC4"/>
    <w:rsid w:val="003771AB"/>
    <w:rsid w:val="00382DCB"/>
    <w:rsid w:val="00394F50"/>
    <w:rsid w:val="003A20B9"/>
    <w:rsid w:val="003A2DAE"/>
    <w:rsid w:val="003A52D9"/>
    <w:rsid w:val="003A643A"/>
    <w:rsid w:val="003A663E"/>
    <w:rsid w:val="003A73E6"/>
    <w:rsid w:val="003A7D94"/>
    <w:rsid w:val="003B37B2"/>
    <w:rsid w:val="003E3AB2"/>
    <w:rsid w:val="00407826"/>
    <w:rsid w:val="004328C7"/>
    <w:rsid w:val="00446E08"/>
    <w:rsid w:val="00451A81"/>
    <w:rsid w:val="00463C7D"/>
    <w:rsid w:val="004812F0"/>
    <w:rsid w:val="004B1F06"/>
    <w:rsid w:val="004B7F50"/>
    <w:rsid w:val="004C59E2"/>
    <w:rsid w:val="004E34CF"/>
    <w:rsid w:val="004E3EC6"/>
    <w:rsid w:val="004F0506"/>
    <w:rsid w:val="004F6EF6"/>
    <w:rsid w:val="0050036C"/>
    <w:rsid w:val="00503FF5"/>
    <w:rsid w:val="005135B9"/>
    <w:rsid w:val="00513CFB"/>
    <w:rsid w:val="0052277C"/>
    <w:rsid w:val="0053620E"/>
    <w:rsid w:val="00537AF6"/>
    <w:rsid w:val="005409C2"/>
    <w:rsid w:val="00543803"/>
    <w:rsid w:val="00544C5E"/>
    <w:rsid w:val="005503BE"/>
    <w:rsid w:val="00555FDC"/>
    <w:rsid w:val="00561CB7"/>
    <w:rsid w:val="00564A6A"/>
    <w:rsid w:val="00595B13"/>
    <w:rsid w:val="005B64A0"/>
    <w:rsid w:val="006150FC"/>
    <w:rsid w:val="00645F87"/>
    <w:rsid w:val="00646006"/>
    <w:rsid w:val="0065788A"/>
    <w:rsid w:val="00673CD2"/>
    <w:rsid w:val="006842B5"/>
    <w:rsid w:val="00685BF9"/>
    <w:rsid w:val="00687D67"/>
    <w:rsid w:val="00692C5A"/>
    <w:rsid w:val="006B0A61"/>
    <w:rsid w:val="006B282B"/>
    <w:rsid w:val="006B5515"/>
    <w:rsid w:val="006C090E"/>
    <w:rsid w:val="006C4593"/>
    <w:rsid w:val="006C4C65"/>
    <w:rsid w:val="006D090E"/>
    <w:rsid w:val="00713B57"/>
    <w:rsid w:val="00733833"/>
    <w:rsid w:val="00740E06"/>
    <w:rsid w:val="00740F1F"/>
    <w:rsid w:val="007410F9"/>
    <w:rsid w:val="007451A9"/>
    <w:rsid w:val="007451D3"/>
    <w:rsid w:val="00760392"/>
    <w:rsid w:val="00763CE4"/>
    <w:rsid w:val="00772CD8"/>
    <w:rsid w:val="00777FC6"/>
    <w:rsid w:val="00780F0B"/>
    <w:rsid w:val="007840AA"/>
    <w:rsid w:val="007A2B65"/>
    <w:rsid w:val="007A5D33"/>
    <w:rsid w:val="007B2325"/>
    <w:rsid w:val="007B6CE4"/>
    <w:rsid w:val="007C2A85"/>
    <w:rsid w:val="007E7258"/>
    <w:rsid w:val="0080228B"/>
    <w:rsid w:val="00803B21"/>
    <w:rsid w:val="008168D0"/>
    <w:rsid w:val="0081779E"/>
    <w:rsid w:val="00840BF8"/>
    <w:rsid w:val="008417DC"/>
    <w:rsid w:val="00862671"/>
    <w:rsid w:val="0088021D"/>
    <w:rsid w:val="00883612"/>
    <w:rsid w:val="00895B38"/>
    <w:rsid w:val="00897909"/>
    <w:rsid w:val="008B3982"/>
    <w:rsid w:val="008C0436"/>
    <w:rsid w:val="008C35A0"/>
    <w:rsid w:val="008C3FA9"/>
    <w:rsid w:val="008E140C"/>
    <w:rsid w:val="008E55E3"/>
    <w:rsid w:val="008F01F8"/>
    <w:rsid w:val="008F69B1"/>
    <w:rsid w:val="00901181"/>
    <w:rsid w:val="00904442"/>
    <w:rsid w:val="00931E1B"/>
    <w:rsid w:val="009357A4"/>
    <w:rsid w:val="009359D8"/>
    <w:rsid w:val="009558A6"/>
    <w:rsid w:val="009679A1"/>
    <w:rsid w:val="009726DC"/>
    <w:rsid w:val="009A61B8"/>
    <w:rsid w:val="009B6359"/>
    <w:rsid w:val="009C4006"/>
    <w:rsid w:val="009C6FB2"/>
    <w:rsid w:val="009D18CC"/>
    <w:rsid w:val="009D2456"/>
    <w:rsid w:val="00A04E4C"/>
    <w:rsid w:val="00A2361E"/>
    <w:rsid w:val="00A23A10"/>
    <w:rsid w:val="00A24D5A"/>
    <w:rsid w:val="00A25D50"/>
    <w:rsid w:val="00A36955"/>
    <w:rsid w:val="00A41325"/>
    <w:rsid w:val="00A53F29"/>
    <w:rsid w:val="00A547B5"/>
    <w:rsid w:val="00A6177B"/>
    <w:rsid w:val="00A618D3"/>
    <w:rsid w:val="00A67C3B"/>
    <w:rsid w:val="00A74AA6"/>
    <w:rsid w:val="00A854AA"/>
    <w:rsid w:val="00AD19AD"/>
    <w:rsid w:val="00AE049F"/>
    <w:rsid w:val="00AE0BB1"/>
    <w:rsid w:val="00AE2F64"/>
    <w:rsid w:val="00AE2FF1"/>
    <w:rsid w:val="00AF2AB2"/>
    <w:rsid w:val="00B05543"/>
    <w:rsid w:val="00B154FD"/>
    <w:rsid w:val="00B235FA"/>
    <w:rsid w:val="00B2654F"/>
    <w:rsid w:val="00B278C1"/>
    <w:rsid w:val="00B27A28"/>
    <w:rsid w:val="00B4713B"/>
    <w:rsid w:val="00B53EBA"/>
    <w:rsid w:val="00B56245"/>
    <w:rsid w:val="00B623C7"/>
    <w:rsid w:val="00B71213"/>
    <w:rsid w:val="00B93E34"/>
    <w:rsid w:val="00BA19DE"/>
    <w:rsid w:val="00BB3259"/>
    <w:rsid w:val="00BC0331"/>
    <w:rsid w:val="00BC683F"/>
    <w:rsid w:val="00BE5CB4"/>
    <w:rsid w:val="00BF6083"/>
    <w:rsid w:val="00C04C6A"/>
    <w:rsid w:val="00C11198"/>
    <w:rsid w:val="00C17FC9"/>
    <w:rsid w:val="00C20913"/>
    <w:rsid w:val="00C25278"/>
    <w:rsid w:val="00C369B2"/>
    <w:rsid w:val="00C3730F"/>
    <w:rsid w:val="00C66A20"/>
    <w:rsid w:val="00C703AA"/>
    <w:rsid w:val="00C70FB7"/>
    <w:rsid w:val="00C76BEE"/>
    <w:rsid w:val="00C80173"/>
    <w:rsid w:val="00C82382"/>
    <w:rsid w:val="00C84922"/>
    <w:rsid w:val="00C87780"/>
    <w:rsid w:val="00C974AB"/>
    <w:rsid w:val="00CA01E7"/>
    <w:rsid w:val="00CC6E36"/>
    <w:rsid w:val="00CE5211"/>
    <w:rsid w:val="00CF5627"/>
    <w:rsid w:val="00D1562E"/>
    <w:rsid w:val="00D304CC"/>
    <w:rsid w:val="00D31EDC"/>
    <w:rsid w:val="00D626C3"/>
    <w:rsid w:val="00D66F96"/>
    <w:rsid w:val="00D742E0"/>
    <w:rsid w:val="00D8383C"/>
    <w:rsid w:val="00D86F1A"/>
    <w:rsid w:val="00DA0ED2"/>
    <w:rsid w:val="00DB0771"/>
    <w:rsid w:val="00DB19BE"/>
    <w:rsid w:val="00DC6813"/>
    <w:rsid w:val="00DD2A3D"/>
    <w:rsid w:val="00DE7244"/>
    <w:rsid w:val="00E213FF"/>
    <w:rsid w:val="00E4100D"/>
    <w:rsid w:val="00E80398"/>
    <w:rsid w:val="00E81144"/>
    <w:rsid w:val="00EC1A2D"/>
    <w:rsid w:val="00ED55FF"/>
    <w:rsid w:val="00EE2F69"/>
    <w:rsid w:val="00EE5E61"/>
    <w:rsid w:val="00F011E8"/>
    <w:rsid w:val="00F06907"/>
    <w:rsid w:val="00F21C61"/>
    <w:rsid w:val="00F22B6C"/>
    <w:rsid w:val="00F3003A"/>
    <w:rsid w:val="00F45169"/>
    <w:rsid w:val="00F53C83"/>
    <w:rsid w:val="00F54D2A"/>
    <w:rsid w:val="00F5789E"/>
    <w:rsid w:val="00F70F2A"/>
    <w:rsid w:val="00F8774F"/>
    <w:rsid w:val="00F910CC"/>
    <w:rsid w:val="00F970FF"/>
    <w:rsid w:val="00FA0468"/>
    <w:rsid w:val="00FB1FE4"/>
    <w:rsid w:val="00FB435B"/>
    <w:rsid w:val="00FB6832"/>
    <w:rsid w:val="00FC23F6"/>
    <w:rsid w:val="00FD5B72"/>
    <w:rsid w:val="00FD6D4F"/>
    <w:rsid w:val="00FE1C1C"/>
    <w:rsid w:val="00FE78CD"/>
    <w:rsid w:val="00FF285E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docId w15:val="{1AB63A64-E29F-4F0A-BDEB-1C93A3EE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1E268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F3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F399E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1F399E"/>
  </w:style>
  <w:style w:type="character" w:customStyle="1" w:styleId="Titolo1Carattere">
    <w:name w:val="Titolo 1 Carattere"/>
    <w:basedOn w:val="Carpredefinitoparagrafo"/>
    <w:link w:val="Titolo1"/>
    <w:uiPriority w:val="9"/>
    <w:rsid w:val="001E268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BC0331"/>
    <w:rPr>
      <w:b/>
      <w:bCs/>
    </w:rPr>
  </w:style>
  <w:style w:type="paragraph" w:customStyle="1" w:styleId="TitoloDocumento">
    <w:name w:val="Titolo Documento"/>
    <w:basedOn w:val="Normale"/>
    <w:qFormat/>
    <w:rsid w:val="00C04C6A"/>
    <w:pPr>
      <w:autoSpaceDE w:val="0"/>
      <w:autoSpaceDN w:val="0"/>
      <w:adjustRightInd w:val="0"/>
      <w:jc w:val="both"/>
    </w:pPr>
    <w:rPr>
      <w:rFonts w:ascii="Calibri" w:eastAsia="Calibri" w:hAnsi="Calibri" w:cs="Calibri"/>
      <w:b/>
      <w:smallCaps/>
      <w:color w:val="FFFFFF" w:themeColor="background1"/>
      <w:sz w:val="72"/>
      <w:szCs w:val="72"/>
    </w:rPr>
  </w:style>
  <w:style w:type="paragraph" w:styleId="NormaleWeb">
    <w:name w:val="Normal (Web)"/>
    <w:basedOn w:val="Normale"/>
    <w:uiPriority w:val="99"/>
    <w:unhideWhenUsed/>
    <w:rsid w:val="001072C8"/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e"/>
    <w:rsid w:val="00FB68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2126A"/>
    <w:rPr>
      <w:i/>
      <w:iCs/>
    </w:rPr>
  </w:style>
  <w:style w:type="paragraph" w:customStyle="1" w:styleId="normaleconrientro">
    <w:name w:val="normaleconrientro"/>
    <w:basedOn w:val="Normale"/>
    <w:rsid w:val="00A24D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6</cp:revision>
  <cp:lastPrinted>2023-12-13T11:29:00Z</cp:lastPrinted>
  <dcterms:created xsi:type="dcterms:W3CDTF">2024-03-18T11:33:00Z</dcterms:created>
  <dcterms:modified xsi:type="dcterms:W3CDTF">2024-03-19T16:27:00Z</dcterms:modified>
</cp:coreProperties>
</file>