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AEE9" w14:textId="77777777" w:rsidR="005A1C64" w:rsidRDefault="005A1C64" w:rsidP="005A1C6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9A01648" w14:textId="69638282" w:rsidR="00B46E7F" w:rsidRPr="005A1C64" w:rsidRDefault="00B33AAD" w:rsidP="005A1C6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5A1C64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5A1C64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03A6E445" w14:textId="77777777" w:rsidR="00C801B1" w:rsidRPr="005A1C64" w:rsidRDefault="00C801B1" w:rsidP="005A1C6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98A269A" w14:textId="5CDD25E7" w:rsidR="005A1C64" w:rsidRPr="005A1C64" w:rsidRDefault="005A1C64" w:rsidP="005A1C6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5A1C64"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ASSEGNO UNICO, DAI COMMERCIALISTI UN DOCUMENTO ESPLICATIVO</w:t>
      </w:r>
    </w:p>
    <w:p w14:paraId="43F7CBE5" w14:textId="2B03F173" w:rsidR="005A1C64" w:rsidRPr="005A1C64" w:rsidRDefault="005A1C64" w:rsidP="005A1C6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455E40A" w14:textId="51529D25" w:rsidR="005A1C64" w:rsidRPr="005A1C64" w:rsidRDefault="005A1C64" w:rsidP="005A1C6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5A1C64"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Lo studio del Consiglio e della Fondazione nazionali della categoria analizza le caratteristiche del beneficio e delle sue modalità applicative e mette a raffronto il vecchio e il nuovo sistema di sostegno alle famiglie</w:t>
      </w:r>
    </w:p>
    <w:p w14:paraId="3E1A10ED" w14:textId="7B4CF9E1" w:rsidR="005A1C64" w:rsidRDefault="005A1C64" w:rsidP="005A1C64">
      <w:pPr>
        <w:spacing w:after="0" w:line="240" w:lineRule="auto"/>
        <w:jc w:val="both"/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</w:pPr>
      <w:r w:rsidRPr="005A1C64"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 </w:t>
      </w:r>
    </w:p>
    <w:p w14:paraId="531B39C1" w14:textId="77777777" w:rsidR="005A1C64" w:rsidRPr="005A1C64" w:rsidRDefault="005A1C64" w:rsidP="005A1C6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C363E25" w14:textId="77777777" w:rsidR="005A1C64" w:rsidRDefault="005A1C64" w:rsidP="005A1C64">
      <w:pPr>
        <w:spacing w:after="0" w:line="240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5A1C64"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Roma, 18 marzo 2022</w:t>
      </w:r>
      <w:r w:rsidRPr="005A1C64">
        <w:rPr>
          <w:rFonts w:ascii="Arial" w:hAnsi="Arial" w:cs="Arial"/>
          <w:i/>
          <w:iCs/>
          <w:color w:val="201F1E"/>
          <w:sz w:val="24"/>
          <w:szCs w:val="24"/>
        </w:rPr>
        <w:t xml:space="preserve"> -</w:t>
      </w:r>
      <w:r w:rsidRPr="005A1C64">
        <w:rPr>
          <w:rFonts w:ascii="Arial" w:hAnsi="Arial" w:cs="Arial"/>
          <w:color w:val="201F1E"/>
          <w:sz w:val="24"/>
          <w:szCs w:val="24"/>
        </w:rPr>
        <w:t xml:space="preserve"> </w:t>
      </w:r>
      <w:r w:rsidRPr="005A1C64">
        <w:rPr>
          <w:rFonts w:ascii="Arial" w:hAnsi="Arial" w:cs="Arial"/>
          <w:color w:val="201F1E"/>
          <w:sz w:val="24"/>
          <w:szCs w:val="24"/>
          <w:shd w:val="clear" w:color="auto" w:fill="FFFFFF"/>
        </w:rPr>
        <w:t>Il Consiglio e la Fondazione Nazionali dei Commercialisti hanno pubblicato il documento “Assegno unico e universale per i figli a carico”.</w:t>
      </w:r>
    </w:p>
    <w:p w14:paraId="09081DE8" w14:textId="17FACAC4" w:rsidR="005A1C64" w:rsidRPr="005A1C64" w:rsidRDefault="005A1C64" w:rsidP="005A1C64">
      <w:pPr>
        <w:spacing w:after="0" w:line="240" w:lineRule="auto"/>
        <w:jc w:val="both"/>
        <w:rPr>
          <w:color w:val="000000"/>
          <w:sz w:val="24"/>
          <w:szCs w:val="24"/>
        </w:rPr>
      </w:pPr>
      <w:r w:rsidRPr="005A1C64">
        <w:rPr>
          <w:rFonts w:ascii="Arial" w:hAnsi="Arial" w:cs="Arial"/>
          <w:color w:val="201F1E"/>
          <w:sz w:val="24"/>
          <w:szCs w:val="24"/>
        </w:rPr>
        <w:br/>
      </w:r>
      <w:r w:rsidRPr="005A1C64">
        <w:rPr>
          <w:rFonts w:ascii="Arial" w:hAnsi="Arial" w:cs="Arial"/>
          <w:color w:val="201F1E"/>
          <w:sz w:val="24"/>
          <w:szCs w:val="24"/>
          <w:shd w:val="clear" w:color="auto" w:fill="FFFFFF"/>
        </w:rPr>
        <w:t>A partire dal mese di marzo 2022 è operativo l’Assegno Unico e Universale (AUU), il nuovo beneficio economico erogato con cadenza mensile dall’INPS in favore dei nuclei familiari con figli a carico. L’Assegno Unico e Universale accorpa e sostituisce, le altre prestazioni economiche a sostegno della famiglia di carattere fiscale, assistenziale e previdenziale, comprese quelle già erogate in busta paga o con la pensione. </w:t>
      </w:r>
    </w:p>
    <w:p w14:paraId="176FFD8A" w14:textId="77777777" w:rsidR="005A1C64" w:rsidRPr="005A1C64" w:rsidRDefault="005A1C64" w:rsidP="005A1C64">
      <w:pPr>
        <w:spacing w:after="0" w:line="240" w:lineRule="auto"/>
        <w:jc w:val="both"/>
        <w:rPr>
          <w:color w:val="000000"/>
          <w:sz w:val="24"/>
          <w:szCs w:val="24"/>
        </w:rPr>
      </w:pPr>
      <w:r w:rsidRPr="005A1C64">
        <w:rPr>
          <w:rFonts w:ascii="Arial" w:hAnsi="Arial" w:cs="Arial"/>
          <w:color w:val="201F1E"/>
          <w:sz w:val="24"/>
          <w:szCs w:val="24"/>
        </w:rPr>
        <w:br/>
      </w:r>
      <w:r w:rsidRPr="005A1C64">
        <w:rPr>
          <w:rFonts w:ascii="Arial" w:hAnsi="Arial" w:cs="Arial"/>
          <w:color w:val="201F1E"/>
          <w:sz w:val="24"/>
          <w:szCs w:val="24"/>
          <w:shd w:val="clear" w:color="auto" w:fill="FFFFFF"/>
        </w:rPr>
        <w:t>Il documento analizza le caratteristiche del beneficio e delle sue modalità applicative, al contempo, operando un raffronto tra il vecchio ed il nuovo sistema di sostegno alle famiglie e alla natalità, anche alla luce della recente rimodulazione delle aliquote IRPEF e degli effetti redistributivi della riforma. </w:t>
      </w:r>
    </w:p>
    <w:p w14:paraId="3E5E49B6" w14:textId="77777777" w:rsidR="005A1C64" w:rsidRPr="005A1C64" w:rsidRDefault="005A1C64" w:rsidP="005A1C64">
      <w:pPr>
        <w:spacing w:after="0" w:line="240" w:lineRule="auto"/>
        <w:jc w:val="both"/>
        <w:rPr>
          <w:color w:val="000000"/>
          <w:sz w:val="24"/>
          <w:szCs w:val="24"/>
        </w:rPr>
      </w:pPr>
      <w:r w:rsidRPr="005A1C64">
        <w:rPr>
          <w:rFonts w:ascii="Arial" w:hAnsi="Arial" w:cs="Arial"/>
          <w:color w:val="201F1E"/>
          <w:sz w:val="24"/>
          <w:szCs w:val="24"/>
        </w:rPr>
        <w:br/>
      </w:r>
      <w:r w:rsidRPr="005A1C64">
        <w:rPr>
          <w:rFonts w:ascii="Arial" w:hAnsi="Arial" w:cs="Arial"/>
          <w:color w:val="201F1E"/>
          <w:sz w:val="24"/>
          <w:szCs w:val="24"/>
          <w:shd w:val="clear" w:color="auto" w:fill="FFFFFF"/>
        </w:rPr>
        <w:t>Nove i capitoli in cui è diviso lo studio. Nel primo si analizza l’istituzione dell’assegno unico e universale per i figli a carico e superamento delle misure temporanee. Successivamente si approfondisce la platea dei soggetti beneficiari, le modalità di presentazione della domanda e decorrenza dell’assegno, la misura e determinazione dell’assegno. Spazio poi alle compatibilità con altre prestazioni familiari, alla residuale operatività delle prestazioni di assegno per il nucleo familiare e di assegno familiare e alle iniziative di attuazione e monitoraggio. Il documento si conclude con un confronto fra vecchio e nuovo sistema di sostegno alle famiglie e alla natalità e gli effetti redistributivi dell’assegno unico universale alla luce della riforma IRPEF in corso. </w:t>
      </w:r>
    </w:p>
    <w:p w14:paraId="74FBCDA6" w14:textId="4AA6BC14" w:rsidR="00EA13DD" w:rsidRPr="005A1C64" w:rsidRDefault="00EA13DD" w:rsidP="005A1C64">
      <w:pPr>
        <w:pStyle w:val="x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sectPr w:rsidR="00EA13DD" w:rsidRPr="005A1C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5110" w14:textId="77777777" w:rsidR="000255B8" w:rsidRDefault="000255B8" w:rsidP="00C244F9">
      <w:pPr>
        <w:spacing w:after="0" w:line="240" w:lineRule="auto"/>
      </w:pPr>
      <w:r>
        <w:separator/>
      </w:r>
    </w:p>
  </w:endnote>
  <w:endnote w:type="continuationSeparator" w:id="0">
    <w:p w14:paraId="4175151E" w14:textId="77777777" w:rsidR="000255B8" w:rsidRDefault="000255B8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89B0" w14:textId="77777777" w:rsidR="000255B8" w:rsidRDefault="000255B8" w:rsidP="00C244F9">
      <w:pPr>
        <w:spacing w:after="0" w:line="240" w:lineRule="auto"/>
      </w:pPr>
      <w:r>
        <w:separator/>
      </w:r>
    </w:p>
  </w:footnote>
  <w:footnote w:type="continuationSeparator" w:id="0">
    <w:p w14:paraId="2ECD5081" w14:textId="77777777" w:rsidR="000255B8" w:rsidRDefault="000255B8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255B8"/>
    <w:rsid w:val="00051A7C"/>
    <w:rsid w:val="00064BB1"/>
    <w:rsid w:val="00066C3D"/>
    <w:rsid w:val="000B1BD1"/>
    <w:rsid w:val="000B235F"/>
    <w:rsid w:val="000B3806"/>
    <w:rsid w:val="000C037B"/>
    <w:rsid w:val="000D60C6"/>
    <w:rsid w:val="00106CDD"/>
    <w:rsid w:val="0011714E"/>
    <w:rsid w:val="00130A4E"/>
    <w:rsid w:val="00137250"/>
    <w:rsid w:val="00144BD8"/>
    <w:rsid w:val="00154A24"/>
    <w:rsid w:val="00172C9C"/>
    <w:rsid w:val="00175822"/>
    <w:rsid w:val="00176972"/>
    <w:rsid w:val="001A1D68"/>
    <w:rsid w:val="001D3C68"/>
    <w:rsid w:val="001F0475"/>
    <w:rsid w:val="00227B3C"/>
    <w:rsid w:val="00276BA4"/>
    <w:rsid w:val="0029157E"/>
    <w:rsid w:val="002B78A5"/>
    <w:rsid w:val="002C41B2"/>
    <w:rsid w:val="002D4028"/>
    <w:rsid w:val="0031138F"/>
    <w:rsid w:val="003216ED"/>
    <w:rsid w:val="003539AF"/>
    <w:rsid w:val="00374EC0"/>
    <w:rsid w:val="003773A3"/>
    <w:rsid w:val="003935EA"/>
    <w:rsid w:val="003B3597"/>
    <w:rsid w:val="003C2E00"/>
    <w:rsid w:val="003C30BF"/>
    <w:rsid w:val="003C6252"/>
    <w:rsid w:val="003D0CE5"/>
    <w:rsid w:val="003E3FF8"/>
    <w:rsid w:val="003F7653"/>
    <w:rsid w:val="00410906"/>
    <w:rsid w:val="00427803"/>
    <w:rsid w:val="00444153"/>
    <w:rsid w:val="00473624"/>
    <w:rsid w:val="004B26BB"/>
    <w:rsid w:val="004D027A"/>
    <w:rsid w:val="00502804"/>
    <w:rsid w:val="005419B9"/>
    <w:rsid w:val="00542E37"/>
    <w:rsid w:val="005528BD"/>
    <w:rsid w:val="00560DF1"/>
    <w:rsid w:val="00574FE2"/>
    <w:rsid w:val="00586B1F"/>
    <w:rsid w:val="005A1C64"/>
    <w:rsid w:val="005A46C4"/>
    <w:rsid w:val="00605191"/>
    <w:rsid w:val="006161FB"/>
    <w:rsid w:val="006273EA"/>
    <w:rsid w:val="00651652"/>
    <w:rsid w:val="00656D74"/>
    <w:rsid w:val="0066467C"/>
    <w:rsid w:val="0068658C"/>
    <w:rsid w:val="00686B3A"/>
    <w:rsid w:val="006B481F"/>
    <w:rsid w:val="006D0BEF"/>
    <w:rsid w:val="006F4EC2"/>
    <w:rsid w:val="007578E3"/>
    <w:rsid w:val="00792220"/>
    <w:rsid w:val="007B4E5F"/>
    <w:rsid w:val="007F0536"/>
    <w:rsid w:val="007F2B52"/>
    <w:rsid w:val="0080067F"/>
    <w:rsid w:val="00800A12"/>
    <w:rsid w:val="0081049B"/>
    <w:rsid w:val="00813B39"/>
    <w:rsid w:val="00816D15"/>
    <w:rsid w:val="00893C4E"/>
    <w:rsid w:val="008C37D4"/>
    <w:rsid w:val="00911D15"/>
    <w:rsid w:val="009258D3"/>
    <w:rsid w:val="00984D51"/>
    <w:rsid w:val="009C53C6"/>
    <w:rsid w:val="009D57D0"/>
    <w:rsid w:val="009F1487"/>
    <w:rsid w:val="009F4D75"/>
    <w:rsid w:val="00A604B1"/>
    <w:rsid w:val="00A866E4"/>
    <w:rsid w:val="00B33AAD"/>
    <w:rsid w:val="00B37115"/>
    <w:rsid w:val="00B436DE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2741C"/>
    <w:rsid w:val="00C306B1"/>
    <w:rsid w:val="00C63146"/>
    <w:rsid w:val="00C66822"/>
    <w:rsid w:val="00C719EB"/>
    <w:rsid w:val="00C74FC6"/>
    <w:rsid w:val="00C801B1"/>
    <w:rsid w:val="00CA5E3D"/>
    <w:rsid w:val="00CA7FD0"/>
    <w:rsid w:val="00D0617D"/>
    <w:rsid w:val="00D06F3A"/>
    <w:rsid w:val="00D64987"/>
    <w:rsid w:val="00DA3824"/>
    <w:rsid w:val="00DB6DAF"/>
    <w:rsid w:val="00DC7566"/>
    <w:rsid w:val="00DD1BB9"/>
    <w:rsid w:val="00DE3A12"/>
    <w:rsid w:val="00DF6872"/>
    <w:rsid w:val="00E00966"/>
    <w:rsid w:val="00E477DB"/>
    <w:rsid w:val="00E47BE0"/>
    <w:rsid w:val="00E50272"/>
    <w:rsid w:val="00E507D0"/>
    <w:rsid w:val="00E83416"/>
    <w:rsid w:val="00E97876"/>
    <w:rsid w:val="00EA13DD"/>
    <w:rsid w:val="00EC0B46"/>
    <w:rsid w:val="00EC2930"/>
    <w:rsid w:val="00EE38DA"/>
    <w:rsid w:val="00F04783"/>
    <w:rsid w:val="00F362C1"/>
    <w:rsid w:val="00F37E61"/>
    <w:rsid w:val="00F6642C"/>
    <w:rsid w:val="00FA00F8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2">
    <w:name w:val="x_p2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3">
    <w:name w:val="x_p3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s1">
    <w:name w:val="x_s1"/>
    <w:basedOn w:val="Carpredefinitoparagrafo"/>
    <w:rsid w:val="006D0BEF"/>
  </w:style>
  <w:style w:type="character" w:customStyle="1" w:styleId="xapple-converted-space">
    <w:name w:val="x_apple-converted-space"/>
    <w:basedOn w:val="Carpredefinitoparagrafo"/>
    <w:rsid w:val="006D0BEF"/>
  </w:style>
  <w:style w:type="paragraph" w:customStyle="1" w:styleId="xp4">
    <w:name w:val="x_p4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2022-03-22T09:14:00Z</dcterms:created>
  <dcterms:modified xsi:type="dcterms:W3CDTF">2022-03-22T19:27:00Z</dcterms:modified>
</cp:coreProperties>
</file>