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95" w:rsidRPr="005B4095" w:rsidRDefault="005B4095" w:rsidP="005B4095">
      <w:pPr>
        <w:tabs>
          <w:tab w:val="left" w:pos="2340"/>
        </w:tabs>
        <w:jc w:val="both"/>
        <w:rPr>
          <w:rFonts w:ascii="Arial" w:eastAsia="Times New Roman" w:hAnsi="Arial" w:cs="Arial"/>
          <w:color w:val="201F1E"/>
          <w:shd w:val="clear" w:color="auto" w:fill="FFFFFF"/>
          <w:lang w:eastAsia="it-IT"/>
        </w:rPr>
      </w:pPr>
      <w:r>
        <w:rPr>
          <w:rFonts w:ascii="Arial" w:hAnsi="Arial" w:cs="Arial"/>
          <w:b/>
          <w:bCs/>
          <w:color w:val="000000"/>
        </w:rPr>
        <w:t>Comunicato stampa</w:t>
      </w:r>
    </w:p>
    <w:p w:rsidR="005B4095" w:rsidRPr="00914DC3" w:rsidRDefault="005B4095" w:rsidP="005B4095">
      <w:pPr>
        <w:pStyle w:val="NormaleWeb"/>
        <w:spacing w:before="0" w:beforeAutospacing="0" w:after="0" w:afterAutospacing="0"/>
        <w:jc w:val="both"/>
        <w:rPr>
          <w:rFonts w:ascii="Cambria" w:hAnsi="Cambria"/>
          <w:color w:val="000000"/>
          <w:sz w:val="28"/>
          <w:szCs w:val="28"/>
        </w:rPr>
      </w:pPr>
      <w:r w:rsidRPr="00914DC3">
        <w:rPr>
          <w:rFonts w:ascii="Arial" w:hAnsi="Arial" w:cs="Arial"/>
          <w:b/>
          <w:bCs/>
          <w:color w:val="000000"/>
          <w:sz w:val="28"/>
          <w:szCs w:val="28"/>
        </w:rPr>
        <w:t>Cura Italia, Commercialisti: “Oltre dieci miliardi per misure straordinarie assistenziali contro zero miliardi per abbattimento del cuneo fiscale”</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b/>
          <w:bCs/>
          <w:color w:val="000000"/>
        </w:rPr>
        <w:t> </w:t>
      </w:r>
    </w:p>
    <w:p w:rsidR="005B4095" w:rsidRPr="00C82CEE" w:rsidRDefault="005B4095" w:rsidP="005B4095">
      <w:pPr>
        <w:pStyle w:val="NormaleWeb"/>
        <w:spacing w:before="0" w:beforeAutospacing="0" w:after="0" w:afterAutospacing="0" w:line="240" w:lineRule="atLeast"/>
        <w:jc w:val="both"/>
        <w:rPr>
          <w:rFonts w:ascii="Palatino" w:hAnsi="Palatino"/>
          <w:color w:val="000000"/>
          <w:sz w:val="24"/>
          <w:szCs w:val="24"/>
        </w:rPr>
      </w:pPr>
      <w:bookmarkStart w:id="0" w:name="_GoBack"/>
      <w:r w:rsidRPr="00C82CEE">
        <w:rPr>
          <w:rFonts w:ascii="Arial" w:hAnsi="Arial" w:cs="Arial"/>
          <w:b/>
          <w:bCs/>
          <w:color w:val="000000"/>
          <w:sz w:val="24"/>
          <w:szCs w:val="24"/>
        </w:rPr>
        <w:t>Miani: “Dalla relazione tecnica del decreto emerge la marginalizzazione delle centinaia di migliaia di lavoratori ordinistici”</w:t>
      </w:r>
    </w:p>
    <w:bookmarkEnd w:id="0"/>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 </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Roma, 18 marzo 2020 – Dalla lettura della Relazione Tecnica che accompagna i 127 articoli del Decreto “Cura Italia” emerge che i 25 miliardi aggiuntivi di titoli di Stato, di cui viene autorizzata l’emissione, andranno a finanziare interventi che impattano sull’indebitamento 2020 per 3,2 miliardi euro, a fronte di misure di potenziamento del Servizio sanitario Nazionale;10,3 miliardi di euro, a fronte di misure di sostegno al lavoro; 5,1 miliardi, a fronte di misure di sostegno della liquidità attraverso il sistema bancario; 2,3 miliardi, a fronte di misure fiscali a sostegno della liquidità delle famiglie e delle imprese.</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 xml:space="preserve">La parte restante è dedicata ad altre misure, tra cui i tanto discussi 500 milioni per il settore aereo, ma sostanzialmente riconducibili alla partita Alitalia. Dei 10,3 miliardi di misure a sostegno del lavoro: circa 7 sono relativi a misure fruibili solo da lavoratori dipendenti; circa 3 anche da lavoratori autonomi. </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 </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Sono i numeri mesi in fila dal Consiglio nazionale dei commercialisti, dai quali emerge, secondo il presidente nazionale della categoria, Massimo Miani “una significativa emarginazione delle centinaia di migliaia di liberi professionisti iscritti agli ordini professionali con proprie casse previdenziali, posto che per questi ultimi viene consentito soltanto di provare ad accedere, in concorrenza però con tutti gli altri lavoratori dipendenti e autonomi,  al cosiddetto “reddito di ultima istanza” per il quale il decreto stanzia 300 milioni appena degli oltre 10 miliardi dedicati a questo comparto di misure”.</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 </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Dei 5,1 miliardi di misure di sostegno della liquidità 1,6 miliardi sono riconducibili al rifinanziamento del fondo centrale di garanzia per le PMI; 1,7 miliardi sono riconducibili alle misure per la moratoria fino al 30 settembre della restituzione dei prestiti delle PMI; 400 milioni riconducibili alle misure per la sospensione dei mutui prima casa.</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 </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Con specifico riguardo alla moratoria del rientro dei prestiti a favore delle PMI, la relazione tecnica stima in 219 miliardi l’importo complessivo dei prestiti che ne beneficerebbero: 97 miliardi di linee di credito in conto corrente (di cui 66 miliardi utilizzati); 60 miliardi di finanziamenti accordati per anticipi su fatture e altri titoli di credito (di cui 35 miliardi utilizzati); 29 miliardi per altri prestiti a breve termine; 33 miliardi di sospensione rate relative a mutui, leasing e altri prestiti a medio-lungo termine.</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Dei 2,3 miliardi di misure fiscali: 982 milioni sono riconducibili al blocco della riscossione dei ruoli; 880 milioni sono riconducibili al bonus di 100 euro per i dipendenti con redditi fino a 40.000 euro che a marzo vanno regolarmente al lavoro; 356 milioni sono riconducibili al credito di imposta pari al 60% dell’affitto di marzo di negozi e botteghe per gli esercenti “chiusi” per decreto.</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 </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“Sul punto – commenta Miani - va sottolineato che la Relazione Tecnica conferma come nessun costo per lo Stato, in termini di indebitamento, hanno invece le sospensioni dei versamenti di IVA, ritenute e contributi in scadenza a marzo e aprile, disposte per i “piccoli” e per le attività economiche delle filiere “più esposte”. Ciò dipende dalla brevità della sospensione (tutti gli importi sospesi devono infatti essere versati entro l’anno, a partire già dal mese di maggio). L’adeguatezza delle misure di sostegno al lavoro – commenta il numero uno dei commercialisti - è ovviamente fuori discussione, specie per tutte quelle attività che sono state costrette a chiudere per decreto. Così come significative sono alcune delle misure di sostegno della liquidità attraverso il sistema bancario”.</w:t>
      </w:r>
    </w:p>
    <w:p w:rsidR="005B4095" w:rsidRDefault="005B4095" w:rsidP="005B4095">
      <w:pPr>
        <w:pStyle w:val="NormaleWeb"/>
        <w:spacing w:before="0" w:beforeAutospacing="0" w:after="0" w:afterAutospacing="0" w:line="240" w:lineRule="atLeast"/>
        <w:jc w:val="both"/>
        <w:rPr>
          <w:rFonts w:ascii="Palatino" w:hAnsi="Palatino"/>
          <w:color w:val="000000"/>
          <w:sz w:val="20"/>
          <w:szCs w:val="20"/>
        </w:rPr>
      </w:pPr>
      <w:r>
        <w:rPr>
          <w:rFonts w:ascii="Arial" w:hAnsi="Arial" w:cs="Arial"/>
          <w:color w:val="000000"/>
        </w:rPr>
        <w:t> </w:t>
      </w:r>
    </w:p>
    <w:p w:rsidR="007C23E9" w:rsidRDefault="007C23E9" w:rsidP="005B4095">
      <w:pPr>
        <w:pStyle w:val="NormaleWeb"/>
        <w:spacing w:before="0" w:beforeAutospacing="0" w:after="0" w:afterAutospacing="0" w:line="240" w:lineRule="atLeast"/>
        <w:jc w:val="both"/>
        <w:rPr>
          <w:rFonts w:ascii="Arial" w:hAnsi="Arial" w:cs="Arial"/>
          <w:color w:val="000000"/>
        </w:rPr>
      </w:pPr>
    </w:p>
    <w:p w:rsidR="007C23E9" w:rsidRDefault="007C23E9" w:rsidP="005B4095">
      <w:pPr>
        <w:pStyle w:val="NormaleWeb"/>
        <w:spacing w:before="0" w:beforeAutospacing="0" w:after="0" w:afterAutospacing="0" w:line="240" w:lineRule="atLeast"/>
        <w:jc w:val="both"/>
        <w:rPr>
          <w:rFonts w:ascii="Arial" w:hAnsi="Arial" w:cs="Arial"/>
          <w:color w:val="000000"/>
        </w:rPr>
      </w:pPr>
    </w:p>
    <w:p w:rsidR="007C23E9" w:rsidRDefault="007C23E9" w:rsidP="005B4095">
      <w:pPr>
        <w:pStyle w:val="NormaleWeb"/>
        <w:spacing w:before="0" w:beforeAutospacing="0" w:after="0" w:afterAutospacing="0" w:line="240" w:lineRule="atLeast"/>
        <w:jc w:val="both"/>
        <w:rPr>
          <w:rFonts w:ascii="Arial" w:hAnsi="Arial" w:cs="Arial"/>
          <w:color w:val="000000"/>
        </w:rPr>
      </w:pPr>
    </w:p>
    <w:p w:rsidR="005B4095" w:rsidRPr="007C23E9" w:rsidRDefault="005B4095" w:rsidP="005B4095">
      <w:pPr>
        <w:pStyle w:val="NormaleWeb"/>
        <w:spacing w:before="0" w:beforeAutospacing="0" w:after="0" w:afterAutospacing="0" w:line="240" w:lineRule="atLeast"/>
        <w:jc w:val="both"/>
        <w:rPr>
          <w:rFonts w:ascii="Arial" w:hAnsi="Arial" w:cs="Arial"/>
          <w:color w:val="000000"/>
        </w:rPr>
      </w:pPr>
      <w:r>
        <w:rPr>
          <w:rFonts w:ascii="Arial" w:hAnsi="Arial" w:cs="Arial"/>
          <w:color w:val="000000"/>
        </w:rPr>
        <w:t>“Quello che non funziona – conclude Miani - è l’evidente marginalizzazione di centinaia di migliaia di liberi professionisti ordinistici, tra i quali sono numerosissimi i giovani con redditi già bassi nei periodi di normalità economica che rischiano davvero di ritrovarsi ultimi tra gli ultimi e peggio che dimenticati, in quanto qui non c’è alcuna dimenticanza, ma scelte precise.</w:t>
      </w:r>
      <w:r w:rsidR="007C23E9">
        <w:rPr>
          <w:rFonts w:ascii="Arial" w:hAnsi="Arial" w:cs="Arial"/>
          <w:color w:val="000000"/>
        </w:rPr>
        <w:t xml:space="preserve"> </w:t>
      </w:r>
      <w:r>
        <w:rPr>
          <w:rFonts w:ascii="Arial" w:hAnsi="Arial" w:cs="Arial"/>
          <w:color w:val="000000"/>
        </w:rPr>
        <w:t>Così come salta all’occhio l’assoluta assenza di misure straordinarie di effettiva  riduzione del cuneo fiscale a carico del datore di lavoro: una scelta che, messa a fianco di quella opposta compiuta sul versante del potenziamento delle misure di cassa integrazione, rischia di trasformare il Decreto Cura Italia in un enorme spinta psicologica a ricorrere il prima possibile e il più possibile alla cassa integrazione anche per quei datori di lavoro che, con un mix di misure più accorto e bilanciato, potrebbero fare nelle prossime nove settimane scelte diverse”.</w:t>
      </w:r>
    </w:p>
    <w:p w:rsidR="00A37DCB" w:rsidRPr="00CA4FB7" w:rsidRDefault="00A37DCB" w:rsidP="00D57164">
      <w:pPr>
        <w:jc w:val="both"/>
        <w:rPr>
          <w:rFonts w:ascii="Arial" w:hAnsi="Arial" w:cs="Arial"/>
        </w:rPr>
      </w:pPr>
    </w:p>
    <w:sectPr w:rsidR="00A37DCB" w:rsidRPr="00CA4FB7"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77C" w:rsidRDefault="002A277C" w:rsidP="0093272D">
      <w:r>
        <w:separator/>
      </w:r>
    </w:p>
  </w:endnote>
  <w:endnote w:type="continuationSeparator" w:id="0">
    <w:p w:rsidR="002A277C" w:rsidRDefault="002A277C" w:rsidP="0093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77C" w:rsidRDefault="002A277C" w:rsidP="0093272D">
      <w:r>
        <w:separator/>
      </w:r>
    </w:p>
  </w:footnote>
  <w:footnote w:type="continuationSeparator" w:id="0">
    <w:p w:rsidR="002A277C" w:rsidRDefault="002A277C" w:rsidP="0093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72D" w:rsidRDefault="0093272D">
    <w:pPr>
      <w:pStyle w:val="Intestazione"/>
    </w:pPr>
    <w:r w:rsidRPr="005816F1">
      <w:rPr>
        <w:noProof/>
        <w:lang w:eastAsia="it-IT"/>
      </w:rPr>
      <w:drawing>
        <wp:inline distT="0" distB="0" distL="0" distR="0" wp14:anchorId="5C2FB48C" wp14:editId="2D2E4DAE">
          <wp:extent cx="6116320" cy="966470"/>
          <wp:effectExtent l="0" t="0" r="0" b="5080"/>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664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CB"/>
    <w:rsid w:val="001D0C92"/>
    <w:rsid w:val="002A277C"/>
    <w:rsid w:val="0030644B"/>
    <w:rsid w:val="003C2FC0"/>
    <w:rsid w:val="003D2FA0"/>
    <w:rsid w:val="005B4095"/>
    <w:rsid w:val="00745D17"/>
    <w:rsid w:val="007C23E9"/>
    <w:rsid w:val="0088749A"/>
    <w:rsid w:val="00914DC3"/>
    <w:rsid w:val="0093272D"/>
    <w:rsid w:val="00986D90"/>
    <w:rsid w:val="00A12705"/>
    <w:rsid w:val="00A1776F"/>
    <w:rsid w:val="00A37DCB"/>
    <w:rsid w:val="00AC6BB0"/>
    <w:rsid w:val="00C82CEE"/>
    <w:rsid w:val="00C93D93"/>
    <w:rsid w:val="00CA4FB7"/>
    <w:rsid w:val="00D57164"/>
    <w:rsid w:val="00E534BA"/>
    <w:rsid w:val="00F20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6EDF"/>
  <w14:defaultImageDpi w14:val="32767"/>
  <w15:chartTrackingRefBased/>
  <w15:docId w15:val="{9EEDFB21-B09C-8D40-B597-F106CA33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272D"/>
    <w:pPr>
      <w:tabs>
        <w:tab w:val="center" w:pos="4819"/>
        <w:tab w:val="right" w:pos="9638"/>
      </w:tabs>
    </w:pPr>
  </w:style>
  <w:style w:type="character" w:customStyle="1" w:styleId="IntestazioneCarattere">
    <w:name w:val="Intestazione Carattere"/>
    <w:basedOn w:val="Carpredefinitoparagrafo"/>
    <w:link w:val="Intestazione"/>
    <w:uiPriority w:val="99"/>
    <w:rsid w:val="0093272D"/>
  </w:style>
  <w:style w:type="paragraph" w:styleId="Pidipagina">
    <w:name w:val="footer"/>
    <w:basedOn w:val="Normale"/>
    <w:link w:val="PidipaginaCarattere"/>
    <w:uiPriority w:val="99"/>
    <w:unhideWhenUsed/>
    <w:rsid w:val="0093272D"/>
    <w:pPr>
      <w:tabs>
        <w:tab w:val="center" w:pos="4819"/>
        <w:tab w:val="right" w:pos="9638"/>
      </w:tabs>
    </w:pPr>
  </w:style>
  <w:style w:type="character" w:customStyle="1" w:styleId="PidipaginaCarattere">
    <w:name w:val="Piè di pagina Carattere"/>
    <w:basedOn w:val="Carpredefinitoparagrafo"/>
    <w:link w:val="Pidipagina"/>
    <w:uiPriority w:val="99"/>
    <w:rsid w:val="0093272D"/>
  </w:style>
  <w:style w:type="paragraph" w:styleId="NormaleWeb">
    <w:name w:val="Normal (Web)"/>
    <w:basedOn w:val="Normale"/>
    <w:uiPriority w:val="99"/>
    <w:semiHidden/>
    <w:unhideWhenUsed/>
    <w:rsid w:val="005B4095"/>
    <w:pPr>
      <w:spacing w:before="100" w:beforeAutospacing="1" w:after="100" w:afterAutospacing="1"/>
    </w:pPr>
    <w:rPr>
      <w:rFonts w:ascii="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6134">
      <w:bodyDiv w:val="1"/>
      <w:marLeft w:val="0"/>
      <w:marRight w:val="0"/>
      <w:marTop w:val="0"/>
      <w:marBottom w:val="0"/>
      <w:divBdr>
        <w:top w:val="none" w:sz="0" w:space="0" w:color="auto"/>
        <w:left w:val="none" w:sz="0" w:space="0" w:color="auto"/>
        <w:bottom w:val="none" w:sz="0" w:space="0" w:color="auto"/>
        <w:right w:val="none" w:sz="0" w:space="0" w:color="auto"/>
      </w:divBdr>
    </w:div>
    <w:div w:id="7389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6</cp:revision>
  <dcterms:created xsi:type="dcterms:W3CDTF">2020-03-26T16:20:00Z</dcterms:created>
  <dcterms:modified xsi:type="dcterms:W3CDTF">2020-03-26T16:26:00Z</dcterms:modified>
</cp:coreProperties>
</file>