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47" w:rsidRPr="005C4B6F" w:rsidRDefault="00A41F47" w:rsidP="005C4B6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503969743"/>
      <w:bookmarkStart w:id="1" w:name="_Hlk510099010"/>
      <w:bookmarkStart w:id="2" w:name="_Hlk510513523"/>
      <w:bookmarkStart w:id="3" w:name="_Hlk513717896"/>
      <w:bookmarkStart w:id="4" w:name="_Hlk514226860"/>
    </w:p>
    <w:bookmarkEnd w:id="0"/>
    <w:bookmarkEnd w:id="1"/>
    <w:bookmarkEnd w:id="2"/>
    <w:bookmarkEnd w:id="3"/>
    <w:p w:rsidR="00444646" w:rsidRPr="005C4B6F" w:rsidRDefault="00444646" w:rsidP="005C4B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D5CED" w:rsidRDefault="007D5CED" w:rsidP="005C4B6F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_Hlk341250"/>
      <w:bookmarkStart w:id="6" w:name="_Hlk341465"/>
      <w:bookmarkStart w:id="7" w:name="_Hlk10724548"/>
      <w:r w:rsidRPr="007D5CED">
        <w:rPr>
          <w:rFonts w:ascii="Arial" w:eastAsia="Times New Roman" w:hAnsi="Arial" w:cs="Arial"/>
          <w:b/>
          <w:bCs/>
          <w:sz w:val="24"/>
          <w:szCs w:val="24"/>
        </w:rPr>
        <w:t>Comunicato stampa</w:t>
      </w:r>
    </w:p>
    <w:p w:rsidR="007D5CED" w:rsidRPr="007D5CED" w:rsidRDefault="007D5CED" w:rsidP="005C4B6F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5C4B6F" w:rsidRDefault="007D5CED" w:rsidP="005C4B6F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22CC4">
        <w:rPr>
          <w:rFonts w:ascii="Arial" w:eastAsia="Times New Roman" w:hAnsi="Arial" w:cs="Arial"/>
          <w:b/>
          <w:bCs/>
          <w:sz w:val="24"/>
          <w:szCs w:val="24"/>
        </w:rPr>
        <w:t>FISCO</w:t>
      </w:r>
      <w:r w:rsidR="00A22CC4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="005C4B6F" w:rsidRPr="00A22CC4">
        <w:rPr>
          <w:rFonts w:ascii="Arial" w:eastAsia="Times New Roman" w:hAnsi="Arial" w:cs="Arial"/>
          <w:b/>
          <w:bCs/>
          <w:sz w:val="24"/>
          <w:szCs w:val="24"/>
        </w:rPr>
        <w:t>COMMERCIALIS</w:t>
      </w:r>
      <w:r w:rsidRPr="00A22CC4">
        <w:rPr>
          <w:rFonts w:ascii="Arial" w:eastAsia="Times New Roman" w:hAnsi="Arial" w:cs="Arial"/>
          <w:b/>
          <w:bCs/>
          <w:sz w:val="24"/>
          <w:szCs w:val="24"/>
        </w:rPr>
        <w:t>TI</w:t>
      </w:r>
      <w:r w:rsidR="00862A65">
        <w:rPr>
          <w:rFonts w:ascii="Arial" w:eastAsia="Times New Roman" w:hAnsi="Arial" w:cs="Arial"/>
          <w:b/>
          <w:bCs/>
          <w:sz w:val="24"/>
          <w:szCs w:val="24"/>
        </w:rPr>
        <w:t>: “</w:t>
      </w:r>
      <w:r w:rsidR="00D33D3F">
        <w:rPr>
          <w:rFonts w:ascii="Arial" w:eastAsia="Times New Roman" w:hAnsi="Arial" w:cs="Arial"/>
          <w:b/>
          <w:bCs/>
          <w:sz w:val="24"/>
          <w:szCs w:val="24"/>
        </w:rPr>
        <w:t>CON ISA GRAVE DISAGIO, SIANO FACOLTATIVI PER IL PRIMO ANNO”</w:t>
      </w:r>
    </w:p>
    <w:p w:rsidR="00D33D3F" w:rsidRDefault="00D33D3F" w:rsidP="005C4B6F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D051D5" w:rsidRDefault="00D051D5" w:rsidP="005C4B6F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Per la categoria sarebbe una soluzione utile al sistema. La proroga dei versamenti al 30 settembre non basta</w:t>
      </w:r>
    </w:p>
    <w:p w:rsidR="00862A65" w:rsidRPr="00462ADD" w:rsidRDefault="00862A65" w:rsidP="005C4B6F">
      <w:pPr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33D3F" w:rsidRDefault="00862A65" w:rsidP="00D33D3F">
      <w:pPr>
        <w:jc w:val="both"/>
        <w:rPr>
          <w:rFonts w:ascii="Tahoma" w:hAnsi="Tahoma" w:cs="Tahoma"/>
          <w:sz w:val="24"/>
          <w:szCs w:val="24"/>
        </w:rPr>
      </w:pPr>
      <w:r w:rsidRPr="00462ADD">
        <w:rPr>
          <w:rFonts w:ascii="Arial" w:eastAsia="Times New Roman" w:hAnsi="Arial" w:cs="Arial"/>
          <w:bCs/>
          <w:i/>
          <w:sz w:val="24"/>
          <w:szCs w:val="24"/>
        </w:rPr>
        <w:t xml:space="preserve">Roma, </w:t>
      </w:r>
      <w:r w:rsidR="00D33D3F">
        <w:rPr>
          <w:rFonts w:ascii="Arial" w:eastAsia="Times New Roman" w:hAnsi="Arial" w:cs="Arial"/>
          <w:bCs/>
          <w:i/>
          <w:sz w:val="24"/>
          <w:szCs w:val="24"/>
        </w:rPr>
        <w:t>17 luglio</w:t>
      </w:r>
      <w:r w:rsidRPr="00462ADD">
        <w:rPr>
          <w:rFonts w:ascii="Arial" w:eastAsia="Times New Roman" w:hAnsi="Arial" w:cs="Arial"/>
          <w:bCs/>
          <w:i/>
          <w:sz w:val="24"/>
          <w:szCs w:val="24"/>
        </w:rPr>
        <w:t xml:space="preserve"> 2019</w:t>
      </w:r>
      <w:r w:rsidRPr="00462ADD">
        <w:rPr>
          <w:rFonts w:ascii="Arial" w:eastAsia="Times New Roman" w:hAnsi="Arial" w:cs="Arial"/>
          <w:bCs/>
          <w:sz w:val="24"/>
          <w:szCs w:val="24"/>
        </w:rPr>
        <w:t xml:space="preserve"> – </w:t>
      </w:r>
      <w:r w:rsidR="00D33D3F" w:rsidRPr="00D33D3F">
        <w:rPr>
          <w:rFonts w:ascii="Tahoma" w:hAnsi="Tahoma" w:cs="Tahoma"/>
          <w:sz w:val="24"/>
          <w:szCs w:val="24"/>
        </w:rPr>
        <w:t>“Alla</w:t>
      </w:r>
      <w:r w:rsidR="00D33D3F" w:rsidRPr="00D33D3F">
        <w:rPr>
          <w:rFonts w:ascii="Tahoma" w:hAnsi="Tahoma" w:cs="Tahoma"/>
          <w:sz w:val="24"/>
          <w:szCs w:val="24"/>
        </w:rPr>
        <w:t xml:space="preserve"> luce della numerose segnalazioni di anomalie e malfunzionamenti che ci pervengono dal territorio, riba</w:t>
      </w:r>
      <w:r w:rsidR="00D33D3F">
        <w:rPr>
          <w:rFonts w:ascii="Tahoma" w:hAnsi="Tahoma" w:cs="Tahoma"/>
          <w:sz w:val="24"/>
          <w:szCs w:val="24"/>
        </w:rPr>
        <w:t>diamo che sarebbe</w:t>
      </w:r>
      <w:r w:rsidR="00D33D3F" w:rsidRPr="00D33D3F">
        <w:rPr>
          <w:rFonts w:ascii="Tahoma" w:hAnsi="Tahoma" w:cs="Tahoma"/>
          <w:sz w:val="24"/>
          <w:szCs w:val="24"/>
        </w:rPr>
        <w:t xml:space="preserve"> utile a tutto il sistema riconoscere, per il primo anno di applicazione</w:t>
      </w:r>
      <w:r w:rsidR="00D33D3F">
        <w:rPr>
          <w:rFonts w:ascii="Tahoma" w:hAnsi="Tahoma" w:cs="Tahoma"/>
          <w:sz w:val="24"/>
          <w:szCs w:val="24"/>
        </w:rPr>
        <w:t>,</w:t>
      </w:r>
      <w:r w:rsidR="00D33D3F" w:rsidRPr="00D33D3F">
        <w:rPr>
          <w:rFonts w:ascii="Tahoma" w:hAnsi="Tahoma" w:cs="Tahoma"/>
          <w:sz w:val="24"/>
          <w:szCs w:val="24"/>
        </w:rPr>
        <w:t xml:space="preserve"> la </w:t>
      </w:r>
      <w:r w:rsidR="00D33D3F" w:rsidRPr="000E3695">
        <w:rPr>
          <w:rFonts w:ascii="Tahoma" w:hAnsi="Tahoma" w:cs="Tahoma"/>
          <w:b/>
          <w:sz w:val="24"/>
          <w:szCs w:val="24"/>
        </w:rPr>
        <w:t>natura meramente facoltativa</w:t>
      </w:r>
      <w:r w:rsidR="00D33D3F" w:rsidRPr="00D33D3F">
        <w:rPr>
          <w:rFonts w:ascii="Tahoma" w:hAnsi="Tahoma" w:cs="Tahoma"/>
          <w:sz w:val="24"/>
          <w:szCs w:val="24"/>
        </w:rPr>
        <w:t xml:space="preserve"> della compilazione dei </w:t>
      </w:r>
      <w:r w:rsidR="00D33D3F" w:rsidRPr="000E3695">
        <w:rPr>
          <w:rFonts w:ascii="Tahoma" w:hAnsi="Tahoma" w:cs="Tahoma"/>
          <w:b/>
          <w:sz w:val="24"/>
          <w:szCs w:val="24"/>
        </w:rPr>
        <w:t>modelli ISA</w:t>
      </w:r>
      <w:r w:rsidR="00D33D3F">
        <w:rPr>
          <w:rFonts w:ascii="Tahoma" w:hAnsi="Tahoma" w:cs="Tahoma"/>
          <w:sz w:val="24"/>
          <w:szCs w:val="24"/>
        </w:rPr>
        <w:t xml:space="preserve">”. </w:t>
      </w:r>
      <w:proofErr w:type="gramStart"/>
      <w:r w:rsidR="00D33D3F">
        <w:rPr>
          <w:rFonts w:ascii="Tahoma" w:hAnsi="Tahoma" w:cs="Tahoma"/>
          <w:sz w:val="24"/>
          <w:szCs w:val="24"/>
        </w:rPr>
        <w:t>E’</w:t>
      </w:r>
      <w:proofErr w:type="gramEnd"/>
      <w:r w:rsidR="00D33D3F">
        <w:rPr>
          <w:rFonts w:ascii="Tahoma" w:hAnsi="Tahoma" w:cs="Tahoma"/>
          <w:sz w:val="24"/>
          <w:szCs w:val="24"/>
        </w:rPr>
        <w:t xml:space="preserve"> quanto affermato da</w:t>
      </w:r>
      <w:r w:rsidR="00805BDB">
        <w:rPr>
          <w:rFonts w:ascii="Tahoma" w:hAnsi="Tahoma" w:cs="Tahoma"/>
          <w:sz w:val="24"/>
          <w:szCs w:val="24"/>
        </w:rPr>
        <w:t>i</w:t>
      </w:r>
      <w:r w:rsidR="00D33D3F">
        <w:rPr>
          <w:rFonts w:ascii="Tahoma" w:hAnsi="Tahoma" w:cs="Tahoma"/>
          <w:sz w:val="24"/>
          <w:szCs w:val="24"/>
        </w:rPr>
        <w:t xml:space="preserve"> Consiglier</w:t>
      </w:r>
      <w:r w:rsidR="00805BDB">
        <w:rPr>
          <w:rFonts w:ascii="Tahoma" w:hAnsi="Tahoma" w:cs="Tahoma"/>
          <w:sz w:val="24"/>
          <w:szCs w:val="24"/>
        </w:rPr>
        <w:t>i</w:t>
      </w:r>
      <w:r w:rsidR="00D33D3F">
        <w:rPr>
          <w:rFonts w:ascii="Tahoma" w:hAnsi="Tahoma" w:cs="Tahoma"/>
          <w:sz w:val="24"/>
          <w:szCs w:val="24"/>
        </w:rPr>
        <w:t xml:space="preserve"> nazional</w:t>
      </w:r>
      <w:r w:rsidR="00805BDB">
        <w:rPr>
          <w:rFonts w:ascii="Tahoma" w:hAnsi="Tahoma" w:cs="Tahoma"/>
          <w:sz w:val="24"/>
          <w:szCs w:val="24"/>
        </w:rPr>
        <w:t>i</w:t>
      </w:r>
      <w:r w:rsidR="00D33D3F">
        <w:rPr>
          <w:rFonts w:ascii="Tahoma" w:hAnsi="Tahoma" w:cs="Tahoma"/>
          <w:sz w:val="24"/>
          <w:szCs w:val="24"/>
        </w:rPr>
        <w:t xml:space="preserve"> dei commercialisti delegat</w:t>
      </w:r>
      <w:r w:rsidR="00805BDB">
        <w:rPr>
          <w:rFonts w:ascii="Tahoma" w:hAnsi="Tahoma" w:cs="Tahoma"/>
          <w:sz w:val="24"/>
          <w:szCs w:val="24"/>
        </w:rPr>
        <w:t>i</w:t>
      </w:r>
      <w:r w:rsidR="00D33D3F">
        <w:rPr>
          <w:rFonts w:ascii="Tahoma" w:hAnsi="Tahoma" w:cs="Tahoma"/>
          <w:sz w:val="24"/>
          <w:szCs w:val="24"/>
        </w:rPr>
        <w:t xml:space="preserve"> alla fiscalità, </w:t>
      </w:r>
      <w:r w:rsidR="00D33D3F" w:rsidRPr="000E3695">
        <w:rPr>
          <w:rFonts w:ascii="Tahoma" w:hAnsi="Tahoma" w:cs="Tahoma"/>
          <w:b/>
          <w:sz w:val="24"/>
          <w:szCs w:val="24"/>
        </w:rPr>
        <w:t>Gilberto Gelosa</w:t>
      </w:r>
      <w:r w:rsidR="00D051D5">
        <w:rPr>
          <w:rFonts w:ascii="Tahoma" w:hAnsi="Tahoma" w:cs="Tahoma"/>
          <w:sz w:val="24"/>
          <w:szCs w:val="24"/>
        </w:rPr>
        <w:t xml:space="preserve"> </w:t>
      </w:r>
      <w:r w:rsidR="00805BDB">
        <w:rPr>
          <w:rFonts w:ascii="Tahoma" w:hAnsi="Tahoma" w:cs="Tahoma"/>
          <w:sz w:val="24"/>
          <w:szCs w:val="24"/>
        </w:rPr>
        <w:t>e</w:t>
      </w:r>
      <w:r w:rsidR="00805BDB">
        <w:rPr>
          <w:rFonts w:ascii="Tahoma" w:hAnsi="Tahoma" w:cs="Tahoma"/>
          <w:sz w:val="24"/>
          <w:szCs w:val="24"/>
        </w:rPr>
        <w:t xml:space="preserve"> </w:t>
      </w:r>
      <w:r w:rsidR="00805BDB" w:rsidRPr="00805BDB">
        <w:rPr>
          <w:rFonts w:ascii="Tahoma" w:hAnsi="Tahoma" w:cs="Tahoma"/>
          <w:b/>
          <w:sz w:val="24"/>
          <w:szCs w:val="24"/>
        </w:rPr>
        <w:t>Maurizio Postal</w:t>
      </w:r>
      <w:r w:rsidR="00805BDB">
        <w:rPr>
          <w:rFonts w:ascii="Tahoma" w:hAnsi="Tahoma" w:cs="Tahoma"/>
          <w:sz w:val="24"/>
          <w:szCs w:val="24"/>
        </w:rPr>
        <w:t xml:space="preserve">, a margine </w:t>
      </w:r>
      <w:r w:rsidR="00D33D3F">
        <w:rPr>
          <w:rFonts w:ascii="Tahoma" w:hAnsi="Tahoma" w:cs="Tahoma"/>
          <w:sz w:val="24"/>
          <w:szCs w:val="24"/>
        </w:rPr>
        <w:t xml:space="preserve">della Videoconferenza “I Nuovi Isa”, organizzata dallo stesso Consiglio nazionale dei commercialisti con </w:t>
      </w:r>
      <w:r w:rsidR="00D33D3F" w:rsidRPr="000E3695">
        <w:rPr>
          <w:rFonts w:ascii="Tahoma" w:hAnsi="Tahoma" w:cs="Tahoma"/>
          <w:b/>
          <w:sz w:val="24"/>
          <w:szCs w:val="24"/>
        </w:rPr>
        <w:t>Agenzia delle Entrate</w:t>
      </w:r>
      <w:r w:rsidR="00D33D3F">
        <w:rPr>
          <w:rFonts w:ascii="Tahoma" w:hAnsi="Tahoma" w:cs="Tahoma"/>
          <w:sz w:val="24"/>
          <w:szCs w:val="24"/>
        </w:rPr>
        <w:t xml:space="preserve"> e </w:t>
      </w:r>
      <w:proofErr w:type="spellStart"/>
      <w:r w:rsidR="00D33D3F" w:rsidRPr="000E3695">
        <w:rPr>
          <w:rFonts w:ascii="Tahoma" w:hAnsi="Tahoma" w:cs="Tahoma"/>
          <w:b/>
          <w:sz w:val="24"/>
          <w:szCs w:val="24"/>
        </w:rPr>
        <w:t>SoSe</w:t>
      </w:r>
      <w:proofErr w:type="spellEnd"/>
      <w:r w:rsidR="00D33D3F">
        <w:rPr>
          <w:rFonts w:ascii="Tahoma" w:hAnsi="Tahoma" w:cs="Tahoma"/>
          <w:sz w:val="24"/>
          <w:szCs w:val="24"/>
        </w:rPr>
        <w:t>. Secondo Gelosa</w:t>
      </w:r>
      <w:r w:rsidR="00805BDB">
        <w:rPr>
          <w:rFonts w:ascii="Tahoma" w:hAnsi="Tahoma" w:cs="Tahoma"/>
          <w:sz w:val="24"/>
          <w:szCs w:val="24"/>
        </w:rPr>
        <w:t xml:space="preserve"> e Postal</w:t>
      </w:r>
      <w:r w:rsidR="00D33D3F">
        <w:rPr>
          <w:rFonts w:ascii="Tahoma" w:hAnsi="Tahoma" w:cs="Tahoma"/>
          <w:sz w:val="24"/>
          <w:szCs w:val="24"/>
        </w:rPr>
        <w:t xml:space="preserve">, la facoltatività </w:t>
      </w:r>
      <w:r w:rsidR="00D33D3F" w:rsidRPr="00D33D3F">
        <w:rPr>
          <w:rFonts w:ascii="Tahoma" w:hAnsi="Tahoma" w:cs="Tahoma"/>
          <w:sz w:val="24"/>
          <w:szCs w:val="24"/>
        </w:rPr>
        <w:t>permettere</w:t>
      </w:r>
      <w:r w:rsidR="00D33D3F">
        <w:rPr>
          <w:rFonts w:ascii="Tahoma" w:hAnsi="Tahoma" w:cs="Tahoma"/>
          <w:sz w:val="24"/>
          <w:szCs w:val="24"/>
        </w:rPr>
        <w:t>bbe</w:t>
      </w:r>
      <w:r w:rsidR="00D33D3F" w:rsidRPr="00D33D3F">
        <w:rPr>
          <w:rFonts w:ascii="Tahoma" w:hAnsi="Tahoma" w:cs="Tahoma"/>
          <w:sz w:val="24"/>
          <w:szCs w:val="24"/>
        </w:rPr>
        <w:t xml:space="preserve"> </w:t>
      </w:r>
      <w:r w:rsidR="00D33D3F">
        <w:rPr>
          <w:rFonts w:ascii="Tahoma" w:hAnsi="Tahoma" w:cs="Tahoma"/>
          <w:sz w:val="24"/>
          <w:szCs w:val="24"/>
        </w:rPr>
        <w:t>“</w:t>
      </w:r>
      <w:r w:rsidR="00D33D3F" w:rsidRPr="00D33D3F">
        <w:rPr>
          <w:rFonts w:ascii="Tahoma" w:hAnsi="Tahoma" w:cs="Tahoma"/>
          <w:sz w:val="24"/>
          <w:szCs w:val="24"/>
        </w:rPr>
        <w:t xml:space="preserve">un miglior affinamento dell’elaborazione statistica alla luce dei riscontri ricevuti in questo primo anno e, </w:t>
      </w:r>
      <w:proofErr w:type="gramStart"/>
      <w:r w:rsidR="00D33D3F" w:rsidRPr="00D33D3F">
        <w:rPr>
          <w:rFonts w:ascii="Tahoma" w:hAnsi="Tahoma" w:cs="Tahoma"/>
          <w:sz w:val="24"/>
          <w:szCs w:val="24"/>
        </w:rPr>
        <w:t>nel contemp</w:t>
      </w:r>
      <w:r w:rsidR="000E3695">
        <w:rPr>
          <w:rFonts w:ascii="Tahoma" w:hAnsi="Tahoma" w:cs="Tahoma"/>
          <w:sz w:val="24"/>
          <w:szCs w:val="24"/>
        </w:rPr>
        <w:t>o</w:t>
      </w:r>
      <w:proofErr w:type="gramEnd"/>
      <w:r w:rsidR="00D33D3F" w:rsidRPr="00D33D3F">
        <w:rPr>
          <w:rFonts w:ascii="Tahoma" w:hAnsi="Tahoma" w:cs="Tahoma"/>
          <w:sz w:val="24"/>
          <w:szCs w:val="24"/>
        </w:rPr>
        <w:t>, di non pregiudicare le legittime aspettative di accesso al regime premiale previsto dalla normativa a coloro che ne abbiano diritto</w:t>
      </w:r>
      <w:r w:rsidR="00D33D3F">
        <w:rPr>
          <w:rFonts w:ascii="Tahoma" w:hAnsi="Tahoma" w:cs="Tahoma"/>
          <w:sz w:val="24"/>
          <w:szCs w:val="24"/>
        </w:rPr>
        <w:t>”</w:t>
      </w:r>
      <w:r w:rsidR="00D33D3F" w:rsidRPr="00D33D3F">
        <w:rPr>
          <w:rFonts w:ascii="Tahoma" w:hAnsi="Tahoma" w:cs="Tahoma"/>
          <w:sz w:val="24"/>
          <w:szCs w:val="24"/>
        </w:rPr>
        <w:t>.</w:t>
      </w:r>
    </w:p>
    <w:p w:rsidR="00D33D3F" w:rsidRPr="00D33D3F" w:rsidRDefault="00D33D3F" w:rsidP="00D33D3F">
      <w:pPr>
        <w:jc w:val="both"/>
        <w:rPr>
          <w:rFonts w:ascii="Tahoma" w:hAnsi="Tahoma" w:cs="Tahoma"/>
          <w:sz w:val="24"/>
          <w:szCs w:val="24"/>
        </w:rPr>
      </w:pPr>
    </w:p>
    <w:p w:rsidR="007C3C72" w:rsidRDefault="00D33D3F" w:rsidP="00D33D3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Gelosa </w:t>
      </w:r>
      <w:r w:rsidR="00805BDB">
        <w:rPr>
          <w:rFonts w:ascii="Arial" w:eastAsia="Times New Roman" w:hAnsi="Arial" w:cs="Arial"/>
          <w:bCs/>
          <w:sz w:val="24"/>
          <w:szCs w:val="24"/>
        </w:rPr>
        <w:t xml:space="preserve">e Postal </w:t>
      </w:r>
      <w:r w:rsidR="007C3C72">
        <w:rPr>
          <w:rFonts w:ascii="Arial" w:eastAsia="Times New Roman" w:hAnsi="Arial" w:cs="Arial"/>
          <w:bCs/>
          <w:sz w:val="24"/>
          <w:szCs w:val="24"/>
        </w:rPr>
        <w:t>ha</w:t>
      </w:r>
      <w:r w:rsidR="00805BDB">
        <w:rPr>
          <w:rFonts w:ascii="Arial" w:eastAsia="Times New Roman" w:hAnsi="Arial" w:cs="Arial"/>
          <w:bCs/>
          <w:sz w:val="24"/>
          <w:szCs w:val="24"/>
        </w:rPr>
        <w:t>nno</w:t>
      </w:r>
      <w:r>
        <w:rPr>
          <w:rFonts w:ascii="Arial" w:eastAsia="Times New Roman" w:hAnsi="Arial" w:cs="Arial"/>
          <w:bCs/>
          <w:sz w:val="24"/>
          <w:szCs w:val="24"/>
        </w:rPr>
        <w:t xml:space="preserve"> affermato che “è</w:t>
      </w:r>
      <w:r w:rsidRPr="00821B5E">
        <w:rPr>
          <w:rFonts w:ascii="Tahoma" w:hAnsi="Tahoma" w:cs="Tahoma"/>
          <w:sz w:val="24"/>
          <w:szCs w:val="24"/>
        </w:rPr>
        <w:t xml:space="preserve"> di tutta evidenza la </w:t>
      </w:r>
      <w:r w:rsidRPr="000E3695">
        <w:rPr>
          <w:rFonts w:ascii="Tahoma" w:hAnsi="Tahoma" w:cs="Tahoma"/>
          <w:b/>
          <w:sz w:val="24"/>
          <w:szCs w:val="24"/>
        </w:rPr>
        <w:t>grave situazione di disagio</w:t>
      </w:r>
      <w:r w:rsidRPr="00821B5E">
        <w:rPr>
          <w:rFonts w:ascii="Tahoma" w:hAnsi="Tahoma" w:cs="Tahoma"/>
          <w:sz w:val="24"/>
          <w:szCs w:val="24"/>
        </w:rPr>
        <w:t xml:space="preserve"> che</w:t>
      </w:r>
      <w:r>
        <w:rPr>
          <w:rFonts w:ascii="Tahoma" w:hAnsi="Tahoma" w:cs="Tahoma"/>
          <w:sz w:val="24"/>
          <w:szCs w:val="24"/>
        </w:rPr>
        <w:t xml:space="preserve"> l’introduzione degli Isa</w:t>
      </w:r>
      <w:r w:rsidRPr="00821B5E">
        <w:rPr>
          <w:rFonts w:ascii="Tahoma" w:hAnsi="Tahoma" w:cs="Tahoma"/>
          <w:sz w:val="24"/>
          <w:szCs w:val="24"/>
        </w:rPr>
        <w:t xml:space="preserve"> sta causando, in evidente contrasto con le disposizioni dello </w:t>
      </w:r>
      <w:r w:rsidRPr="000E3695">
        <w:rPr>
          <w:rFonts w:ascii="Tahoma" w:hAnsi="Tahoma" w:cs="Tahoma"/>
          <w:b/>
          <w:sz w:val="24"/>
          <w:szCs w:val="24"/>
        </w:rPr>
        <w:t>Statuto dei Diritti del Contribuente</w:t>
      </w:r>
      <w:r>
        <w:rPr>
          <w:rFonts w:ascii="Tahoma" w:hAnsi="Tahoma" w:cs="Tahoma"/>
          <w:sz w:val="24"/>
          <w:szCs w:val="24"/>
        </w:rPr>
        <w:t xml:space="preserve">. </w:t>
      </w:r>
      <w:r w:rsidRPr="00821B5E">
        <w:rPr>
          <w:rFonts w:ascii="Tahoma" w:hAnsi="Tahoma" w:cs="Tahoma"/>
          <w:sz w:val="24"/>
          <w:szCs w:val="24"/>
        </w:rPr>
        <w:t xml:space="preserve">Il Legislatore ha sostanzialmente preso atto dei gravi ritardi e disagi che stanno coinvolgendo i contribuenti e gli operatori del settore, Commercialisti </w:t>
      </w:r>
      <w:r w:rsidRPr="00821B5E">
        <w:rPr>
          <w:rFonts w:ascii="Tahoma" w:hAnsi="Tahoma" w:cs="Tahoma"/>
          <w:i/>
          <w:sz w:val="24"/>
          <w:szCs w:val="24"/>
        </w:rPr>
        <w:t>in primis</w:t>
      </w:r>
      <w:r w:rsidRPr="00821B5E">
        <w:rPr>
          <w:rFonts w:ascii="Tahoma" w:hAnsi="Tahoma" w:cs="Tahoma"/>
          <w:sz w:val="24"/>
          <w:szCs w:val="24"/>
        </w:rPr>
        <w:t xml:space="preserve">, disponendo la </w:t>
      </w:r>
      <w:r w:rsidRPr="000E3695">
        <w:rPr>
          <w:rFonts w:ascii="Tahoma" w:hAnsi="Tahoma" w:cs="Tahoma"/>
          <w:b/>
          <w:sz w:val="24"/>
          <w:szCs w:val="24"/>
        </w:rPr>
        <w:t>proroga al 30</w:t>
      </w:r>
      <w:r w:rsidRPr="000E3695">
        <w:rPr>
          <w:rFonts w:ascii="Tahoma" w:hAnsi="Tahoma" w:cs="Tahoma"/>
          <w:b/>
          <w:sz w:val="24"/>
          <w:szCs w:val="24"/>
        </w:rPr>
        <w:t xml:space="preserve"> settembre</w:t>
      </w:r>
      <w:r w:rsidRPr="00821B5E">
        <w:rPr>
          <w:rFonts w:ascii="Tahoma" w:hAnsi="Tahoma" w:cs="Tahoma"/>
          <w:sz w:val="24"/>
          <w:szCs w:val="24"/>
        </w:rPr>
        <w:t xml:space="preserve"> delle scadenze di versamento per i contribuenti </w:t>
      </w:r>
      <w:r>
        <w:rPr>
          <w:rFonts w:ascii="Tahoma" w:hAnsi="Tahoma" w:cs="Tahoma"/>
          <w:sz w:val="24"/>
          <w:szCs w:val="24"/>
        </w:rPr>
        <w:t>che svolgono attività interessate</w:t>
      </w:r>
      <w:r w:rsidRPr="00821B5E">
        <w:rPr>
          <w:rFonts w:ascii="Tahoma" w:hAnsi="Tahoma" w:cs="Tahoma"/>
          <w:sz w:val="24"/>
          <w:szCs w:val="24"/>
        </w:rPr>
        <w:t xml:space="preserve"> dagli ISA</w:t>
      </w:r>
      <w:r>
        <w:rPr>
          <w:rFonts w:ascii="Tahoma" w:hAnsi="Tahoma" w:cs="Tahoma"/>
          <w:sz w:val="24"/>
          <w:szCs w:val="24"/>
        </w:rPr>
        <w:t>”. Una proroga comunque insufficiente per la categoria, che per questa ragione chiede la facoltatività per il primo anno di applicazione.</w:t>
      </w:r>
    </w:p>
    <w:p w:rsidR="00D33D3F" w:rsidRDefault="00D33D3F" w:rsidP="00D33D3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7C3C72" w:rsidRDefault="00B77787" w:rsidP="007C3C7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Nel corso del suo intervento, Gelosa </w:t>
      </w:r>
      <w:r w:rsidR="007C3C72">
        <w:rPr>
          <w:rFonts w:ascii="Tahoma" w:hAnsi="Tahoma" w:cs="Tahoma"/>
          <w:sz w:val="24"/>
          <w:szCs w:val="24"/>
        </w:rPr>
        <w:t xml:space="preserve">ha poi elencato le principali attività con le quali i Commercialisti si stanno misurando in questi giorni: </w:t>
      </w:r>
    </w:p>
    <w:p w:rsidR="007C3C72" w:rsidRDefault="007C3C72" w:rsidP="007C3C72">
      <w:pPr>
        <w:jc w:val="both"/>
        <w:rPr>
          <w:rFonts w:ascii="Tahoma" w:hAnsi="Tahoma" w:cs="Tahoma"/>
          <w:sz w:val="24"/>
          <w:szCs w:val="24"/>
        </w:rPr>
      </w:pPr>
    </w:p>
    <w:p w:rsidR="007C3C72" w:rsidRPr="004E0A02" w:rsidRDefault="007C3C72" w:rsidP="007C3C72">
      <w:pPr>
        <w:numPr>
          <w:ilvl w:val="0"/>
          <w:numId w:val="8"/>
        </w:numPr>
        <w:ind w:left="708"/>
        <w:jc w:val="both"/>
        <w:rPr>
          <w:rFonts w:ascii="Tahoma" w:hAnsi="Tahoma" w:cs="Tahoma"/>
          <w:sz w:val="24"/>
          <w:szCs w:val="24"/>
        </w:rPr>
      </w:pPr>
      <w:r w:rsidRPr="004E0A02">
        <w:rPr>
          <w:rFonts w:ascii="Tahoma" w:hAnsi="Tahoma" w:cs="Tahoma"/>
          <w:sz w:val="24"/>
          <w:szCs w:val="24"/>
        </w:rPr>
        <w:t>un processo di comprensione dello strumento (tra l’altro diversificato in 152 versioni per le varie tipologie di attività);</w:t>
      </w:r>
    </w:p>
    <w:p w:rsidR="007C3C72" w:rsidRDefault="007C3C72" w:rsidP="007C3C72">
      <w:pPr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4E0A02">
        <w:rPr>
          <w:rFonts w:ascii="Tahoma" w:hAnsi="Tahoma" w:cs="Tahoma"/>
          <w:sz w:val="24"/>
          <w:szCs w:val="24"/>
        </w:rPr>
        <w:t xml:space="preserve">l’importazione dei dati </w:t>
      </w:r>
      <w:proofErr w:type="spellStart"/>
      <w:r>
        <w:rPr>
          <w:rFonts w:ascii="Tahoma" w:hAnsi="Tahoma" w:cs="Tahoma"/>
          <w:sz w:val="24"/>
          <w:szCs w:val="24"/>
        </w:rPr>
        <w:t>precalcolati</w:t>
      </w:r>
      <w:proofErr w:type="spellEnd"/>
      <w:r>
        <w:rPr>
          <w:rFonts w:ascii="Tahoma" w:hAnsi="Tahoma" w:cs="Tahoma"/>
          <w:sz w:val="24"/>
          <w:szCs w:val="24"/>
        </w:rPr>
        <w:t xml:space="preserve"> messi a disposizione dall’</w:t>
      </w:r>
      <w:r w:rsidRPr="004E0A02">
        <w:rPr>
          <w:rFonts w:ascii="Tahoma" w:hAnsi="Tahoma" w:cs="Tahoma"/>
          <w:sz w:val="24"/>
          <w:szCs w:val="24"/>
        </w:rPr>
        <w:t>Agenzia</w:t>
      </w:r>
      <w:r>
        <w:rPr>
          <w:rFonts w:ascii="Tahoma" w:hAnsi="Tahoma" w:cs="Tahoma"/>
          <w:sz w:val="24"/>
          <w:szCs w:val="24"/>
        </w:rPr>
        <w:t xml:space="preserve"> delle entrate</w:t>
      </w:r>
      <w:r w:rsidRPr="004E0A02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previa acquisizione da parte dei professionisti </w:t>
      </w:r>
      <w:r w:rsidRPr="004E0A02">
        <w:rPr>
          <w:rFonts w:ascii="Tahoma" w:hAnsi="Tahoma" w:cs="Tahoma"/>
          <w:sz w:val="24"/>
          <w:szCs w:val="24"/>
        </w:rPr>
        <w:t xml:space="preserve">della delega </w:t>
      </w:r>
      <w:r>
        <w:rPr>
          <w:rFonts w:ascii="Tahoma" w:hAnsi="Tahoma" w:cs="Tahoma"/>
          <w:sz w:val="24"/>
          <w:szCs w:val="24"/>
        </w:rPr>
        <w:t xml:space="preserve">del cliente </w:t>
      </w:r>
      <w:r w:rsidRPr="004E0A02">
        <w:rPr>
          <w:rFonts w:ascii="Tahoma" w:hAnsi="Tahoma" w:cs="Tahoma"/>
          <w:sz w:val="24"/>
          <w:szCs w:val="24"/>
        </w:rPr>
        <w:t xml:space="preserve">all’accesso al “cassetto fiscale” oppure </w:t>
      </w:r>
      <w:r>
        <w:rPr>
          <w:rFonts w:ascii="Tahoma" w:hAnsi="Tahoma" w:cs="Tahoma"/>
          <w:sz w:val="24"/>
          <w:szCs w:val="24"/>
        </w:rPr>
        <w:t xml:space="preserve">della </w:t>
      </w:r>
      <w:r w:rsidRPr="004E0A02">
        <w:rPr>
          <w:rFonts w:ascii="Tahoma" w:hAnsi="Tahoma" w:cs="Tahoma"/>
          <w:sz w:val="24"/>
          <w:szCs w:val="24"/>
        </w:rPr>
        <w:t>specifica delega</w:t>
      </w:r>
      <w:r>
        <w:rPr>
          <w:rFonts w:ascii="Tahoma" w:hAnsi="Tahoma" w:cs="Tahoma"/>
          <w:sz w:val="24"/>
          <w:szCs w:val="24"/>
        </w:rPr>
        <w:t xml:space="preserve"> per lo scaricamento dei file XML, </w:t>
      </w:r>
      <w:r w:rsidRPr="004E0A02">
        <w:rPr>
          <w:rFonts w:ascii="Tahoma" w:hAnsi="Tahoma" w:cs="Tahoma"/>
          <w:sz w:val="24"/>
          <w:szCs w:val="24"/>
        </w:rPr>
        <w:t xml:space="preserve">con </w:t>
      </w:r>
      <w:r>
        <w:rPr>
          <w:rFonts w:ascii="Tahoma" w:hAnsi="Tahoma" w:cs="Tahoma"/>
          <w:sz w:val="24"/>
          <w:szCs w:val="24"/>
        </w:rPr>
        <w:t xml:space="preserve">gli </w:t>
      </w:r>
      <w:r w:rsidRPr="004E0A02">
        <w:rPr>
          <w:rFonts w:ascii="Tahoma" w:hAnsi="Tahoma" w:cs="Tahoma"/>
          <w:sz w:val="24"/>
          <w:szCs w:val="24"/>
        </w:rPr>
        <w:t>adempimenti connessi, come la tenuta di un registro delle deleghe ricevute</w:t>
      </w:r>
      <w:r>
        <w:rPr>
          <w:rFonts w:ascii="Tahoma" w:hAnsi="Tahoma" w:cs="Tahoma"/>
          <w:sz w:val="24"/>
          <w:szCs w:val="24"/>
        </w:rPr>
        <w:t>;</w:t>
      </w:r>
    </w:p>
    <w:p w:rsidR="007C3C72" w:rsidRPr="004E0A02" w:rsidRDefault="007C3C72" w:rsidP="007C3C72">
      <w:pPr>
        <w:numPr>
          <w:ilvl w:val="0"/>
          <w:numId w:val="8"/>
        </w:numPr>
        <w:ind w:left="708"/>
        <w:jc w:val="both"/>
        <w:rPr>
          <w:rFonts w:ascii="Tahoma" w:hAnsi="Tahoma" w:cs="Tahoma"/>
          <w:sz w:val="24"/>
          <w:szCs w:val="24"/>
        </w:rPr>
      </w:pPr>
      <w:r w:rsidRPr="004E0A02">
        <w:rPr>
          <w:rFonts w:ascii="Tahoma" w:hAnsi="Tahoma" w:cs="Tahoma"/>
          <w:sz w:val="24"/>
          <w:szCs w:val="24"/>
        </w:rPr>
        <w:t>un controllo dei dati ottenuti dall’Agenzia, che può essere laborioso perché riguarda</w:t>
      </w:r>
      <w:r>
        <w:rPr>
          <w:rFonts w:ascii="Tahoma" w:hAnsi="Tahoma" w:cs="Tahoma"/>
          <w:sz w:val="24"/>
          <w:szCs w:val="24"/>
        </w:rPr>
        <w:t>, in taluni casi,</w:t>
      </w:r>
      <w:r w:rsidRPr="004E0A02">
        <w:rPr>
          <w:rFonts w:ascii="Tahoma" w:hAnsi="Tahoma" w:cs="Tahoma"/>
          <w:sz w:val="24"/>
          <w:szCs w:val="24"/>
        </w:rPr>
        <w:t xml:space="preserve"> valori relativi a 7 anni precedenti e perché talvolta comporta una interlocuzione con l’Agenzia per rettificare le relative evidenze (es: dati sugli affitti per le immobiliari);</w:t>
      </w:r>
    </w:p>
    <w:p w:rsidR="007C3C72" w:rsidRDefault="007C3C72" w:rsidP="007C3C72">
      <w:pPr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la compilazione dei modelli che</w:t>
      </w:r>
      <w:r w:rsidRPr="00CC081A">
        <w:t xml:space="preserve"> </w:t>
      </w:r>
      <w:r w:rsidRPr="00CC081A">
        <w:rPr>
          <w:rFonts w:ascii="Tahoma" w:hAnsi="Tahoma" w:cs="Tahoma"/>
          <w:sz w:val="24"/>
          <w:szCs w:val="24"/>
        </w:rPr>
        <w:t>richiede</w:t>
      </w:r>
      <w:r>
        <w:rPr>
          <w:rFonts w:ascii="Tahoma" w:hAnsi="Tahoma" w:cs="Tahoma"/>
          <w:sz w:val="24"/>
          <w:szCs w:val="24"/>
        </w:rPr>
        <w:t>, come in passato per gli studi,</w:t>
      </w:r>
      <w:r w:rsidRPr="00CC081A">
        <w:rPr>
          <w:rFonts w:ascii="Tahoma" w:hAnsi="Tahoma" w:cs="Tahoma"/>
          <w:sz w:val="24"/>
          <w:szCs w:val="24"/>
        </w:rPr>
        <w:t xml:space="preserve"> una rielaborazione dei dati della contabilità e l’acquisizione di ulteriori elementi di natura extracontabile, attività, quest’ultima, che deve necessariamente avvenire con la </w:t>
      </w:r>
      <w:r>
        <w:rPr>
          <w:rFonts w:ascii="Tahoma" w:hAnsi="Tahoma" w:cs="Tahoma"/>
          <w:sz w:val="24"/>
          <w:szCs w:val="24"/>
        </w:rPr>
        <w:t>collaborazione del contribuente;</w:t>
      </w:r>
    </w:p>
    <w:p w:rsidR="007C3C72" w:rsidRPr="004E0A02" w:rsidRDefault="007C3C72" w:rsidP="007C3C72">
      <w:pPr>
        <w:numPr>
          <w:ilvl w:val="0"/>
          <w:numId w:val="8"/>
        </w:numPr>
        <w:ind w:left="708"/>
        <w:jc w:val="both"/>
        <w:rPr>
          <w:rFonts w:ascii="Tahoma" w:hAnsi="Tahoma" w:cs="Tahoma"/>
          <w:sz w:val="24"/>
          <w:szCs w:val="24"/>
        </w:rPr>
      </w:pPr>
      <w:r w:rsidRPr="004E0A02">
        <w:rPr>
          <w:rFonts w:ascii="Tahoma" w:hAnsi="Tahoma" w:cs="Tahoma"/>
          <w:sz w:val="24"/>
          <w:szCs w:val="24"/>
        </w:rPr>
        <w:t xml:space="preserve">l’analisi degli indici di affidabilità e soprattutto degli indici di anomalia, per capirne l’origine (cattiva compilazione? </w:t>
      </w:r>
      <w:r>
        <w:rPr>
          <w:rFonts w:ascii="Tahoma" w:hAnsi="Tahoma" w:cs="Tahoma"/>
          <w:sz w:val="24"/>
          <w:szCs w:val="24"/>
        </w:rPr>
        <w:t>d</w:t>
      </w:r>
      <w:r w:rsidRPr="004E0A02">
        <w:rPr>
          <w:rFonts w:ascii="Tahoma" w:hAnsi="Tahoma" w:cs="Tahoma"/>
          <w:sz w:val="24"/>
          <w:szCs w:val="24"/>
        </w:rPr>
        <w:t>ati inesatti importati?);</w:t>
      </w:r>
    </w:p>
    <w:p w:rsidR="007C3C72" w:rsidRPr="004E0A02" w:rsidRDefault="007C3C72" w:rsidP="007C3C72">
      <w:pPr>
        <w:numPr>
          <w:ilvl w:val="0"/>
          <w:numId w:val="8"/>
        </w:numPr>
        <w:ind w:left="708"/>
        <w:jc w:val="both"/>
        <w:rPr>
          <w:rFonts w:ascii="Tahoma" w:hAnsi="Tahoma" w:cs="Tahoma"/>
          <w:sz w:val="24"/>
          <w:szCs w:val="24"/>
        </w:rPr>
      </w:pPr>
      <w:r w:rsidRPr="004E0A02">
        <w:rPr>
          <w:rFonts w:ascii="Tahoma" w:hAnsi="Tahoma" w:cs="Tahoma"/>
          <w:sz w:val="24"/>
          <w:szCs w:val="24"/>
        </w:rPr>
        <w:t>l’analisi dei conseguenti adeguamenti dei ricavi</w:t>
      </w:r>
      <w:r>
        <w:rPr>
          <w:rFonts w:ascii="Tahoma" w:hAnsi="Tahoma" w:cs="Tahoma"/>
          <w:sz w:val="24"/>
          <w:szCs w:val="24"/>
        </w:rPr>
        <w:t>/compensi</w:t>
      </w:r>
      <w:r w:rsidRPr="004E0A02">
        <w:rPr>
          <w:rFonts w:ascii="Tahoma" w:hAnsi="Tahoma" w:cs="Tahoma"/>
          <w:sz w:val="24"/>
          <w:szCs w:val="24"/>
        </w:rPr>
        <w:t xml:space="preserve">, per migliorare </w:t>
      </w:r>
      <w:r>
        <w:rPr>
          <w:rFonts w:ascii="Tahoma" w:hAnsi="Tahoma" w:cs="Tahoma"/>
          <w:sz w:val="24"/>
          <w:szCs w:val="24"/>
        </w:rPr>
        <w:t xml:space="preserve">il punteggio di affidabilità fiscale </w:t>
      </w:r>
      <w:r w:rsidRPr="004E0A02">
        <w:rPr>
          <w:rFonts w:ascii="Tahoma" w:hAnsi="Tahoma" w:cs="Tahoma"/>
          <w:sz w:val="24"/>
          <w:szCs w:val="24"/>
        </w:rPr>
        <w:t>ottenuto;</w:t>
      </w:r>
    </w:p>
    <w:p w:rsidR="007C3C72" w:rsidRPr="004E0A02" w:rsidRDefault="007C3C72" w:rsidP="007C3C72">
      <w:pPr>
        <w:numPr>
          <w:ilvl w:val="0"/>
          <w:numId w:val="8"/>
        </w:numPr>
        <w:ind w:left="708"/>
        <w:jc w:val="both"/>
        <w:rPr>
          <w:rFonts w:ascii="Tahoma" w:hAnsi="Tahoma" w:cs="Tahoma"/>
          <w:sz w:val="24"/>
          <w:szCs w:val="24"/>
        </w:rPr>
      </w:pPr>
      <w:r w:rsidRPr="004E0A02">
        <w:rPr>
          <w:rFonts w:ascii="Tahoma" w:hAnsi="Tahoma" w:cs="Tahoma"/>
          <w:sz w:val="24"/>
          <w:szCs w:val="24"/>
        </w:rPr>
        <w:t>l’illustrazione al cliente dei risultati e delle opzioni possibili;</w:t>
      </w:r>
    </w:p>
    <w:p w:rsidR="007C3C72" w:rsidRDefault="007C3C72" w:rsidP="007C3C72">
      <w:pPr>
        <w:numPr>
          <w:ilvl w:val="0"/>
          <w:numId w:val="8"/>
        </w:numPr>
        <w:ind w:left="708"/>
        <w:jc w:val="both"/>
        <w:rPr>
          <w:rFonts w:ascii="Tahoma" w:hAnsi="Tahoma" w:cs="Tahoma"/>
          <w:sz w:val="24"/>
          <w:szCs w:val="24"/>
        </w:rPr>
      </w:pPr>
      <w:r w:rsidRPr="004E0A02">
        <w:rPr>
          <w:rFonts w:ascii="Tahoma" w:hAnsi="Tahoma" w:cs="Tahoma"/>
          <w:sz w:val="24"/>
          <w:szCs w:val="24"/>
        </w:rPr>
        <w:t>la decisione sull’eventuale versamento integrativo</w:t>
      </w:r>
      <w:r>
        <w:rPr>
          <w:rFonts w:ascii="Tahoma" w:hAnsi="Tahoma" w:cs="Tahoma"/>
          <w:sz w:val="24"/>
          <w:szCs w:val="24"/>
        </w:rPr>
        <w:t>.</w:t>
      </w:r>
    </w:p>
    <w:p w:rsidR="007C3C72" w:rsidRDefault="007C3C72" w:rsidP="007C3C72">
      <w:pPr>
        <w:jc w:val="both"/>
        <w:rPr>
          <w:rFonts w:ascii="Tahoma" w:hAnsi="Tahoma" w:cs="Tahoma"/>
          <w:sz w:val="24"/>
          <w:szCs w:val="24"/>
        </w:rPr>
      </w:pPr>
    </w:p>
    <w:p w:rsidR="007C3C72" w:rsidRDefault="007C3C72" w:rsidP="007C3C7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</w:t>
      </w:r>
      <w:r w:rsidRPr="006F7594">
        <w:rPr>
          <w:rFonts w:ascii="Tahoma" w:hAnsi="Tahoma" w:cs="Tahoma"/>
          <w:sz w:val="24"/>
          <w:szCs w:val="24"/>
        </w:rPr>
        <w:t>Dai primi riscontri dei test effettuati</w:t>
      </w:r>
      <w:r>
        <w:rPr>
          <w:rFonts w:ascii="Tahoma" w:hAnsi="Tahoma" w:cs="Tahoma"/>
          <w:sz w:val="24"/>
          <w:szCs w:val="24"/>
        </w:rPr>
        <w:t xml:space="preserve">”, ha spiegato </w:t>
      </w:r>
      <w:r w:rsidRPr="000E3695">
        <w:rPr>
          <w:rFonts w:ascii="Tahoma" w:hAnsi="Tahoma" w:cs="Tahoma"/>
          <w:b/>
          <w:sz w:val="24"/>
          <w:szCs w:val="24"/>
        </w:rPr>
        <w:t>Postal</w:t>
      </w:r>
      <w:r>
        <w:rPr>
          <w:rFonts w:ascii="Tahoma" w:hAnsi="Tahoma" w:cs="Tahoma"/>
          <w:sz w:val="24"/>
          <w:szCs w:val="24"/>
        </w:rPr>
        <w:t>,</w:t>
      </w:r>
      <w:r w:rsidRPr="006F75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“</w:t>
      </w:r>
      <w:r w:rsidRPr="006F7594">
        <w:rPr>
          <w:rFonts w:ascii="Tahoma" w:hAnsi="Tahoma" w:cs="Tahoma"/>
          <w:sz w:val="24"/>
          <w:szCs w:val="24"/>
        </w:rPr>
        <w:t xml:space="preserve">sembra che gli indici di anomalia inseriscano un punteggio pari ad 1 spesso senza graduazione in presenza di piccole anomalie, sia in termini di piccoli scostamenti rispetto ai valori ritenuti minimi sia per </w:t>
      </w:r>
      <w:r>
        <w:rPr>
          <w:rFonts w:ascii="Tahoma" w:hAnsi="Tahoma" w:cs="Tahoma"/>
          <w:sz w:val="24"/>
          <w:szCs w:val="24"/>
        </w:rPr>
        <w:t>classi di ricavi irrisori. T</w:t>
      </w:r>
      <w:r w:rsidRPr="006F7594">
        <w:rPr>
          <w:rFonts w:ascii="Tahoma" w:hAnsi="Tahoma" w:cs="Tahoma"/>
          <w:sz w:val="24"/>
          <w:szCs w:val="24"/>
        </w:rPr>
        <w:t>ra le prime segnalazioni pervenute tramite il network dei nostri referenti regionali</w:t>
      </w:r>
      <w:r>
        <w:rPr>
          <w:rFonts w:ascii="Tahoma" w:hAnsi="Tahoma" w:cs="Tahoma"/>
          <w:sz w:val="24"/>
          <w:szCs w:val="24"/>
        </w:rPr>
        <w:t xml:space="preserve"> – ha proseguito - vi è quella relativa al</w:t>
      </w:r>
      <w:r w:rsidRPr="006F7594">
        <w:rPr>
          <w:rFonts w:ascii="Tahoma" w:hAnsi="Tahoma" w:cs="Tahoma"/>
          <w:sz w:val="24"/>
          <w:szCs w:val="24"/>
        </w:rPr>
        <w:t xml:space="preserve">le società immobiliari </w:t>
      </w:r>
      <w:r>
        <w:rPr>
          <w:rFonts w:ascii="Tahoma" w:hAnsi="Tahoma" w:cs="Tahoma"/>
          <w:sz w:val="24"/>
          <w:szCs w:val="24"/>
        </w:rPr>
        <w:t xml:space="preserve">che </w:t>
      </w:r>
      <w:r w:rsidRPr="006F7594">
        <w:rPr>
          <w:rFonts w:ascii="Tahoma" w:hAnsi="Tahoma" w:cs="Tahoma"/>
          <w:sz w:val="24"/>
          <w:szCs w:val="24"/>
        </w:rPr>
        <w:t xml:space="preserve">presentano una analoga eccessiva sensibilità </w:t>
      </w:r>
      <w:r>
        <w:rPr>
          <w:rFonts w:ascii="Tahoma" w:hAnsi="Tahoma" w:cs="Tahoma"/>
          <w:sz w:val="24"/>
          <w:szCs w:val="24"/>
        </w:rPr>
        <w:t>all’indice di anomalia relativo a</w:t>
      </w:r>
      <w:r w:rsidRPr="006F7594">
        <w:rPr>
          <w:rFonts w:ascii="Tahoma" w:hAnsi="Tahoma" w:cs="Tahoma"/>
          <w:sz w:val="24"/>
          <w:szCs w:val="24"/>
        </w:rPr>
        <w:t>i costi residuali di gestione</w:t>
      </w:r>
      <w:r>
        <w:rPr>
          <w:rFonts w:ascii="Tahoma" w:hAnsi="Tahoma" w:cs="Tahoma"/>
          <w:sz w:val="24"/>
          <w:szCs w:val="24"/>
        </w:rPr>
        <w:t>.</w:t>
      </w:r>
      <w:r w:rsidRPr="006F7594">
        <w:rPr>
          <w:rFonts w:ascii="Tahoma" w:hAnsi="Tahoma" w:cs="Tahoma"/>
          <w:sz w:val="24"/>
          <w:szCs w:val="24"/>
        </w:rPr>
        <w:t xml:space="preserve"> </w:t>
      </w:r>
      <w:r w:rsidRPr="00821B5E">
        <w:rPr>
          <w:rFonts w:ascii="Tahoma" w:hAnsi="Tahoma" w:cs="Tahoma"/>
          <w:sz w:val="24"/>
          <w:szCs w:val="24"/>
        </w:rPr>
        <w:t xml:space="preserve">Sovente le voci di costo che </w:t>
      </w:r>
      <w:r>
        <w:rPr>
          <w:rFonts w:ascii="Tahoma" w:hAnsi="Tahoma" w:cs="Tahoma"/>
          <w:sz w:val="24"/>
          <w:szCs w:val="24"/>
        </w:rPr>
        <w:t xml:space="preserve">abbattono sensibilmente </w:t>
      </w:r>
      <w:r w:rsidRPr="00821B5E">
        <w:rPr>
          <w:rFonts w:ascii="Tahoma" w:hAnsi="Tahoma" w:cs="Tahoma"/>
          <w:sz w:val="24"/>
          <w:szCs w:val="24"/>
        </w:rPr>
        <w:t>tale indicatore sono le imposte e tasse pagate</w:t>
      </w:r>
      <w:r>
        <w:rPr>
          <w:rFonts w:ascii="Tahoma" w:hAnsi="Tahoma" w:cs="Tahoma"/>
          <w:sz w:val="24"/>
          <w:szCs w:val="24"/>
        </w:rPr>
        <w:t xml:space="preserve"> </w:t>
      </w:r>
      <w:r w:rsidRPr="00821B5E">
        <w:rPr>
          <w:rFonts w:ascii="Tahoma" w:hAnsi="Tahoma" w:cs="Tahoma"/>
          <w:sz w:val="24"/>
          <w:szCs w:val="24"/>
        </w:rPr>
        <w:t>penalizzando incomprensibilmente il punteggio finale</w:t>
      </w:r>
      <w:r>
        <w:rPr>
          <w:rFonts w:ascii="Tahoma" w:hAnsi="Tahoma" w:cs="Tahoma"/>
          <w:sz w:val="24"/>
          <w:szCs w:val="24"/>
        </w:rPr>
        <w:t xml:space="preserve">, con una riduzione </w:t>
      </w:r>
      <w:r w:rsidRPr="00821B5E">
        <w:rPr>
          <w:rFonts w:ascii="Tahoma" w:hAnsi="Tahoma" w:cs="Tahoma"/>
          <w:sz w:val="24"/>
          <w:szCs w:val="24"/>
        </w:rPr>
        <w:t>del tutto priva di logica economica</w:t>
      </w:r>
      <w:r>
        <w:rPr>
          <w:rFonts w:ascii="Tahoma" w:hAnsi="Tahoma" w:cs="Tahoma"/>
          <w:sz w:val="24"/>
          <w:szCs w:val="24"/>
        </w:rPr>
        <w:t xml:space="preserve">”. Postal ha anche affermato che “ci viene segnalato che </w:t>
      </w:r>
      <w:r w:rsidRPr="00821B5E">
        <w:rPr>
          <w:rFonts w:ascii="Tahoma" w:hAnsi="Tahoma" w:cs="Tahoma"/>
          <w:sz w:val="24"/>
          <w:szCs w:val="24"/>
        </w:rPr>
        <w:t>alcuni file XML si fondano sui dati dei contratti di locazioni inviati con il software RLI: tali dati possono essere errati o fuorvianti in quanto i canoni originariamente dichiarati possono essere stati oggetto di rinegoziazione successiva</w:t>
      </w:r>
      <w:r>
        <w:rPr>
          <w:rFonts w:ascii="Tahoma" w:hAnsi="Tahoma" w:cs="Tahoma"/>
          <w:sz w:val="24"/>
          <w:szCs w:val="24"/>
        </w:rPr>
        <w:t>. Un’</w:t>
      </w:r>
      <w:r w:rsidRPr="00821B5E">
        <w:rPr>
          <w:rFonts w:ascii="Tahoma" w:hAnsi="Tahoma" w:cs="Tahoma"/>
          <w:sz w:val="24"/>
          <w:szCs w:val="24"/>
        </w:rPr>
        <w:t>ipotesi, peraltro, molto frequente in tempi di crisi economica.</w:t>
      </w:r>
      <w:r>
        <w:rPr>
          <w:rFonts w:ascii="Tahoma" w:hAnsi="Tahoma" w:cs="Tahoma"/>
          <w:sz w:val="24"/>
          <w:szCs w:val="24"/>
        </w:rPr>
        <w:t xml:space="preserve"> </w:t>
      </w:r>
      <w:r w:rsidRPr="000E3695">
        <w:rPr>
          <w:rFonts w:ascii="Tahoma" w:hAnsi="Tahoma" w:cs="Tahoma"/>
          <w:sz w:val="24"/>
          <w:szCs w:val="24"/>
        </w:rPr>
        <w:t>Si tratta di controlli preliminari che presuppongono un dispendio elevatissimo di tempo per una verifica puntuale</w:t>
      </w:r>
      <w:r>
        <w:rPr>
          <w:rFonts w:ascii="Tahoma" w:hAnsi="Tahoma" w:cs="Tahoma"/>
          <w:sz w:val="24"/>
          <w:szCs w:val="24"/>
        </w:rPr>
        <w:t>”</w:t>
      </w:r>
      <w:r w:rsidRPr="000E3695">
        <w:rPr>
          <w:rFonts w:ascii="Tahoma" w:hAnsi="Tahoma" w:cs="Tahoma"/>
          <w:sz w:val="24"/>
          <w:szCs w:val="24"/>
        </w:rPr>
        <w:t>.</w:t>
      </w:r>
    </w:p>
    <w:p w:rsidR="007C3C72" w:rsidRDefault="007C3C72" w:rsidP="007C3C72">
      <w:pPr>
        <w:jc w:val="both"/>
        <w:rPr>
          <w:rFonts w:ascii="Tahoma" w:hAnsi="Tahoma" w:cs="Tahoma"/>
          <w:sz w:val="24"/>
          <w:szCs w:val="24"/>
        </w:rPr>
      </w:pPr>
    </w:p>
    <w:p w:rsidR="007C3C72" w:rsidRDefault="007C3C72" w:rsidP="007C3C72">
      <w:pPr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“N</w:t>
      </w:r>
      <w:r w:rsidRPr="00B739D9">
        <w:rPr>
          <w:rFonts w:ascii="Tahoma" w:hAnsi="Tahoma" w:cs="Tahoma"/>
          <w:sz w:val="24"/>
          <w:szCs w:val="24"/>
        </w:rPr>
        <w:t>el</w:t>
      </w:r>
      <w:r>
        <w:rPr>
          <w:rFonts w:ascii="Tahoma" w:hAnsi="Tahoma" w:cs="Tahoma"/>
          <w:sz w:val="24"/>
          <w:szCs w:val="24"/>
        </w:rPr>
        <w:t xml:space="preserve">l’ambito del costante </w:t>
      </w:r>
      <w:r w:rsidRPr="00B739D9">
        <w:rPr>
          <w:rFonts w:ascii="Tahoma" w:hAnsi="Tahoma" w:cs="Tahoma"/>
          <w:sz w:val="24"/>
          <w:szCs w:val="24"/>
        </w:rPr>
        <w:t xml:space="preserve">rapporto di collaborazione </w:t>
      </w:r>
      <w:r>
        <w:rPr>
          <w:rFonts w:ascii="Tahoma" w:hAnsi="Tahoma" w:cs="Tahoma"/>
          <w:sz w:val="24"/>
          <w:szCs w:val="24"/>
        </w:rPr>
        <w:t>istituzionale esistente tra CNDCEC e Agenzia delle entrate – ha</w:t>
      </w:r>
      <w:r w:rsidR="00B77787">
        <w:rPr>
          <w:rFonts w:ascii="Tahoma" w:hAnsi="Tahoma" w:cs="Tahoma"/>
          <w:sz w:val="24"/>
          <w:szCs w:val="24"/>
        </w:rPr>
        <w:t>nno</w:t>
      </w:r>
      <w:r>
        <w:rPr>
          <w:rFonts w:ascii="Tahoma" w:hAnsi="Tahoma" w:cs="Tahoma"/>
          <w:sz w:val="24"/>
          <w:szCs w:val="24"/>
        </w:rPr>
        <w:t xml:space="preserve"> concluso </w:t>
      </w:r>
      <w:r w:rsidR="00B77787">
        <w:rPr>
          <w:rFonts w:ascii="Tahoma" w:hAnsi="Tahoma" w:cs="Tahoma"/>
          <w:sz w:val="24"/>
          <w:szCs w:val="24"/>
        </w:rPr>
        <w:t xml:space="preserve">Gelosa e </w:t>
      </w:r>
      <w:bookmarkStart w:id="8" w:name="_GoBack"/>
      <w:bookmarkEnd w:id="8"/>
      <w:r>
        <w:rPr>
          <w:rFonts w:ascii="Tahoma" w:hAnsi="Tahoma" w:cs="Tahoma"/>
          <w:sz w:val="24"/>
          <w:szCs w:val="24"/>
        </w:rPr>
        <w:t xml:space="preserve">Postal - ci preme </w:t>
      </w:r>
      <w:r w:rsidRPr="00B739D9">
        <w:rPr>
          <w:rFonts w:ascii="Tahoma" w:hAnsi="Tahoma" w:cs="Tahoma"/>
          <w:sz w:val="24"/>
          <w:szCs w:val="24"/>
        </w:rPr>
        <w:t xml:space="preserve">segnalare che questi casi </w:t>
      </w:r>
      <w:r w:rsidRPr="000E3695">
        <w:rPr>
          <w:rFonts w:ascii="Tahoma" w:hAnsi="Tahoma" w:cs="Tahoma"/>
          <w:b/>
          <w:sz w:val="24"/>
          <w:szCs w:val="24"/>
        </w:rPr>
        <w:t>appaiono numerosi</w:t>
      </w:r>
      <w:r>
        <w:rPr>
          <w:rFonts w:ascii="Tahoma" w:hAnsi="Tahoma" w:cs="Tahoma"/>
          <w:sz w:val="24"/>
          <w:szCs w:val="24"/>
        </w:rPr>
        <w:t xml:space="preserve">, dal che la </w:t>
      </w:r>
      <w:r w:rsidRPr="000E3695">
        <w:rPr>
          <w:rFonts w:ascii="Tahoma" w:hAnsi="Tahoma" w:cs="Tahoma"/>
          <w:b/>
          <w:sz w:val="24"/>
          <w:szCs w:val="24"/>
        </w:rPr>
        <w:t>forte preoccupazione</w:t>
      </w:r>
      <w:r>
        <w:rPr>
          <w:rFonts w:ascii="Tahoma" w:hAnsi="Tahoma" w:cs="Tahoma"/>
          <w:sz w:val="24"/>
          <w:szCs w:val="24"/>
        </w:rPr>
        <w:t xml:space="preserve"> che oggi anima l’intera categoria dei commercialisti”. </w:t>
      </w:r>
    </w:p>
    <w:p w:rsidR="007C3C72" w:rsidRDefault="007C3C72" w:rsidP="007C3C72">
      <w:pPr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7C3C72" w:rsidRDefault="007C3C72" w:rsidP="00D33D3F">
      <w:pPr>
        <w:jc w:val="both"/>
        <w:rPr>
          <w:rFonts w:ascii="Tahoma" w:hAnsi="Tahoma" w:cs="Tahoma"/>
          <w:sz w:val="24"/>
          <w:szCs w:val="24"/>
        </w:rPr>
      </w:pPr>
    </w:p>
    <w:bookmarkEnd w:id="4"/>
    <w:bookmarkEnd w:id="5"/>
    <w:bookmarkEnd w:id="6"/>
    <w:bookmarkEnd w:id="7"/>
    <w:p w:rsidR="00D33D3F" w:rsidRDefault="00D33D3F" w:rsidP="00D33D3F">
      <w:pPr>
        <w:jc w:val="both"/>
        <w:rPr>
          <w:rFonts w:ascii="Tahoma" w:hAnsi="Tahoma" w:cs="Tahoma"/>
          <w:sz w:val="24"/>
          <w:szCs w:val="24"/>
        </w:rPr>
      </w:pPr>
    </w:p>
    <w:sectPr w:rsidR="00D33D3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71D" w:rsidRDefault="0094271D" w:rsidP="0078332C">
      <w:r>
        <w:separator/>
      </w:r>
    </w:p>
  </w:endnote>
  <w:endnote w:type="continuationSeparator" w:id="0">
    <w:p w:rsidR="0094271D" w:rsidRDefault="0094271D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71D" w:rsidRDefault="0094271D" w:rsidP="0078332C">
      <w:r>
        <w:separator/>
      </w:r>
    </w:p>
  </w:footnote>
  <w:footnote w:type="continuationSeparator" w:id="0">
    <w:p w:rsidR="0094271D" w:rsidRDefault="0094271D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717F0"/>
    <w:multiLevelType w:val="hybridMultilevel"/>
    <w:tmpl w:val="37307C96"/>
    <w:lvl w:ilvl="0" w:tplc="C3E84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F35F7"/>
    <w:multiLevelType w:val="hybridMultilevel"/>
    <w:tmpl w:val="E93C67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67D5D68"/>
    <w:multiLevelType w:val="hybridMultilevel"/>
    <w:tmpl w:val="FED864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16261"/>
    <w:rsid w:val="00022A7F"/>
    <w:rsid w:val="00024A50"/>
    <w:rsid w:val="00032856"/>
    <w:rsid w:val="000329A4"/>
    <w:rsid w:val="00037091"/>
    <w:rsid w:val="000539AC"/>
    <w:rsid w:val="0006018A"/>
    <w:rsid w:val="0007464D"/>
    <w:rsid w:val="000806B0"/>
    <w:rsid w:val="00090CE4"/>
    <w:rsid w:val="0009108B"/>
    <w:rsid w:val="000B3118"/>
    <w:rsid w:val="000B3EFF"/>
    <w:rsid w:val="000C0552"/>
    <w:rsid w:val="000C19B1"/>
    <w:rsid w:val="000D01B1"/>
    <w:rsid w:val="000E3695"/>
    <w:rsid w:val="00103B90"/>
    <w:rsid w:val="00105755"/>
    <w:rsid w:val="00121C2D"/>
    <w:rsid w:val="00123B69"/>
    <w:rsid w:val="00173E3A"/>
    <w:rsid w:val="00173F96"/>
    <w:rsid w:val="00174310"/>
    <w:rsid w:val="00186787"/>
    <w:rsid w:val="00191BB6"/>
    <w:rsid w:val="00194C03"/>
    <w:rsid w:val="001A0E52"/>
    <w:rsid w:val="001C67E1"/>
    <w:rsid w:val="001C7E5F"/>
    <w:rsid w:val="001D456F"/>
    <w:rsid w:val="002062BE"/>
    <w:rsid w:val="0021644F"/>
    <w:rsid w:val="002204CC"/>
    <w:rsid w:val="00221234"/>
    <w:rsid w:val="0022378E"/>
    <w:rsid w:val="002438B0"/>
    <w:rsid w:val="00243BD7"/>
    <w:rsid w:val="00272605"/>
    <w:rsid w:val="0028246D"/>
    <w:rsid w:val="00286C68"/>
    <w:rsid w:val="00294D14"/>
    <w:rsid w:val="00296A84"/>
    <w:rsid w:val="002A1399"/>
    <w:rsid w:val="002A3814"/>
    <w:rsid w:val="002A59A1"/>
    <w:rsid w:val="002A70B5"/>
    <w:rsid w:val="002A7FD0"/>
    <w:rsid w:val="002C27DE"/>
    <w:rsid w:val="002C7311"/>
    <w:rsid w:val="002D2034"/>
    <w:rsid w:val="002F4704"/>
    <w:rsid w:val="00301B0A"/>
    <w:rsid w:val="00303A76"/>
    <w:rsid w:val="0030744E"/>
    <w:rsid w:val="00312A48"/>
    <w:rsid w:val="00313354"/>
    <w:rsid w:val="0033082E"/>
    <w:rsid w:val="00332874"/>
    <w:rsid w:val="00333957"/>
    <w:rsid w:val="0034450B"/>
    <w:rsid w:val="0036445C"/>
    <w:rsid w:val="00365C91"/>
    <w:rsid w:val="003808D1"/>
    <w:rsid w:val="003A03BB"/>
    <w:rsid w:val="003B7329"/>
    <w:rsid w:val="003C53E7"/>
    <w:rsid w:val="003D1DEE"/>
    <w:rsid w:val="003E0F52"/>
    <w:rsid w:val="003E1A7E"/>
    <w:rsid w:val="003E753F"/>
    <w:rsid w:val="00444646"/>
    <w:rsid w:val="00462ADD"/>
    <w:rsid w:val="0047270A"/>
    <w:rsid w:val="00472F6D"/>
    <w:rsid w:val="00473E0A"/>
    <w:rsid w:val="00476C15"/>
    <w:rsid w:val="004870B2"/>
    <w:rsid w:val="004A44B8"/>
    <w:rsid w:val="004A6888"/>
    <w:rsid w:val="004B2695"/>
    <w:rsid w:val="004D0E90"/>
    <w:rsid w:val="004F267B"/>
    <w:rsid w:val="004F4736"/>
    <w:rsid w:val="004F7362"/>
    <w:rsid w:val="00510EE4"/>
    <w:rsid w:val="00513967"/>
    <w:rsid w:val="00543860"/>
    <w:rsid w:val="00547534"/>
    <w:rsid w:val="00555885"/>
    <w:rsid w:val="005625A8"/>
    <w:rsid w:val="005636DE"/>
    <w:rsid w:val="00564A2D"/>
    <w:rsid w:val="0058002D"/>
    <w:rsid w:val="00580C25"/>
    <w:rsid w:val="005816F1"/>
    <w:rsid w:val="00582D74"/>
    <w:rsid w:val="00590F83"/>
    <w:rsid w:val="005A3A3F"/>
    <w:rsid w:val="005C4B6F"/>
    <w:rsid w:val="005D2D5F"/>
    <w:rsid w:val="005D455A"/>
    <w:rsid w:val="005E4D40"/>
    <w:rsid w:val="005E7ECB"/>
    <w:rsid w:val="005F2F00"/>
    <w:rsid w:val="005F5B57"/>
    <w:rsid w:val="00616CB9"/>
    <w:rsid w:val="006273CC"/>
    <w:rsid w:val="00641C3C"/>
    <w:rsid w:val="00651FFD"/>
    <w:rsid w:val="0066338C"/>
    <w:rsid w:val="00677A10"/>
    <w:rsid w:val="006A0D3B"/>
    <w:rsid w:val="006C6818"/>
    <w:rsid w:val="006F4DC7"/>
    <w:rsid w:val="006F5BFD"/>
    <w:rsid w:val="007423B1"/>
    <w:rsid w:val="00743FB6"/>
    <w:rsid w:val="00764D9D"/>
    <w:rsid w:val="007816BA"/>
    <w:rsid w:val="00782159"/>
    <w:rsid w:val="0078332C"/>
    <w:rsid w:val="007C14B1"/>
    <w:rsid w:val="007C3C72"/>
    <w:rsid w:val="007D5CED"/>
    <w:rsid w:val="007E44E2"/>
    <w:rsid w:val="0080283B"/>
    <w:rsid w:val="00805BDB"/>
    <w:rsid w:val="00813FF6"/>
    <w:rsid w:val="00832BE3"/>
    <w:rsid w:val="00855840"/>
    <w:rsid w:val="00862A65"/>
    <w:rsid w:val="00863104"/>
    <w:rsid w:val="0087487D"/>
    <w:rsid w:val="00892C1F"/>
    <w:rsid w:val="00897D6B"/>
    <w:rsid w:val="008B2C4E"/>
    <w:rsid w:val="008C0245"/>
    <w:rsid w:val="008E141E"/>
    <w:rsid w:val="00927580"/>
    <w:rsid w:val="00933237"/>
    <w:rsid w:val="00934F3D"/>
    <w:rsid w:val="00935333"/>
    <w:rsid w:val="0094271D"/>
    <w:rsid w:val="00944056"/>
    <w:rsid w:val="009477ED"/>
    <w:rsid w:val="009618F5"/>
    <w:rsid w:val="0097646E"/>
    <w:rsid w:val="009813D9"/>
    <w:rsid w:val="00982BE2"/>
    <w:rsid w:val="00986756"/>
    <w:rsid w:val="009A1934"/>
    <w:rsid w:val="009A33C1"/>
    <w:rsid w:val="009D0B50"/>
    <w:rsid w:val="009D1F36"/>
    <w:rsid w:val="009D5B30"/>
    <w:rsid w:val="009D673E"/>
    <w:rsid w:val="009F0C91"/>
    <w:rsid w:val="00A07FB9"/>
    <w:rsid w:val="00A12594"/>
    <w:rsid w:val="00A22CC4"/>
    <w:rsid w:val="00A34135"/>
    <w:rsid w:val="00A41F47"/>
    <w:rsid w:val="00A46131"/>
    <w:rsid w:val="00A47BEF"/>
    <w:rsid w:val="00A52294"/>
    <w:rsid w:val="00A54335"/>
    <w:rsid w:val="00A636A8"/>
    <w:rsid w:val="00A64118"/>
    <w:rsid w:val="00A6546B"/>
    <w:rsid w:val="00A837E6"/>
    <w:rsid w:val="00A96080"/>
    <w:rsid w:val="00AA004A"/>
    <w:rsid w:val="00AA66A8"/>
    <w:rsid w:val="00AA7145"/>
    <w:rsid w:val="00AB02A8"/>
    <w:rsid w:val="00AB092F"/>
    <w:rsid w:val="00AB44A8"/>
    <w:rsid w:val="00AC2BD9"/>
    <w:rsid w:val="00AE3DBA"/>
    <w:rsid w:val="00B01322"/>
    <w:rsid w:val="00B059EF"/>
    <w:rsid w:val="00B14747"/>
    <w:rsid w:val="00B15621"/>
    <w:rsid w:val="00B1659C"/>
    <w:rsid w:val="00B34200"/>
    <w:rsid w:val="00B42691"/>
    <w:rsid w:val="00B70218"/>
    <w:rsid w:val="00B74510"/>
    <w:rsid w:val="00B77787"/>
    <w:rsid w:val="00B90683"/>
    <w:rsid w:val="00B926C3"/>
    <w:rsid w:val="00BA04F4"/>
    <w:rsid w:val="00BB02DF"/>
    <w:rsid w:val="00BB2E5B"/>
    <w:rsid w:val="00BB7EE6"/>
    <w:rsid w:val="00BD0510"/>
    <w:rsid w:val="00BF3A80"/>
    <w:rsid w:val="00C302BD"/>
    <w:rsid w:val="00C30E85"/>
    <w:rsid w:val="00C342D6"/>
    <w:rsid w:val="00C92F98"/>
    <w:rsid w:val="00C93548"/>
    <w:rsid w:val="00CB14A8"/>
    <w:rsid w:val="00CE403B"/>
    <w:rsid w:val="00CF6388"/>
    <w:rsid w:val="00D027DD"/>
    <w:rsid w:val="00D02F53"/>
    <w:rsid w:val="00D04ABF"/>
    <w:rsid w:val="00D051D5"/>
    <w:rsid w:val="00D078C6"/>
    <w:rsid w:val="00D07944"/>
    <w:rsid w:val="00D12802"/>
    <w:rsid w:val="00D21FB3"/>
    <w:rsid w:val="00D22A11"/>
    <w:rsid w:val="00D27080"/>
    <w:rsid w:val="00D33D3F"/>
    <w:rsid w:val="00D65875"/>
    <w:rsid w:val="00DA7914"/>
    <w:rsid w:val="00E22AF3"/>
    <w:rsid w:val="00E27B5D"/>
    <w:rsid w:val="00E27BC3"/>
    <w:rsid w:val="00E30769"/>
    <w:rsid w:val="00E33070"/>
    <w:rsid w:val="00E36AE1"/>
    <w:rsid w:val="00E4047F"/>
    <w:rsid w:val="00E6797B"/>
    <w:rsid w:val="00E855E0"/>
    <w:rsid w:val="00E91958"/>
    <w:rsid w:val="00E938B5"/>
    <w:rsid w:val="00E9545A"/>
    <w:rsid w:val="00EA25EF"/>
    <w:rsid w:val="00EB7E70"/>
    <w:rsid w:val="00ED08A8"/>
    <w:rsid w:val="00ED2970"/>
    <w:rsid w:val="00ED2BA2"/>
    <w:rsid w:val="00EE3C69"/>
    <w:rsid w:val="00EE51A4"/>
    <w:rsid w:val="00EE61E3"/>
    <w:rsid w:val="00EF561D"/>
    <w:rsid w:val="00EF57D4"/>
    <w:rsid w:val="00EF5A99"/>
    <w:rsid w:val="00EF7D25"/>
    <w:rsid w:val="00F00503"/>
    <w:rsid w:val="00F079D1"/>
    <w:rsid w:val="00F67F0B"/>
    <w:rsid w:val="00F7125B"/>
    <w:rsid w:val="00F8058C"/>
    <w:rsid w:val="00F90BCE"/>
    <w:rsid w:val="00FA23ED"/>
    <w:rsid w:val="00FA5AD9"/>
    <w:rsid w:val="00FC274B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89295C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05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E573D-8EBF-42ED-BCBC-F9CA35E4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cp:lastPrinted>2019-07-17T10:35:00Z</cp:lastPrinted>
  <dcterms:created xsi:type="dcterms:W3CDTF">2019-07-17T10:46:00Z</dcterms:created>
  <dcterms:modified xsi:type="dcterms:W3CDTF">2019-07-17T10:46:00Z</dcterms:modified>
</cp:coreProperties>
</file>