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129E" w14:textId="77777777" w:rsidR="000622B2" w:rsidRPr="000E2A21" w:rsidRDefault="000622B2" w:rsidP="000E2A21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</w:p>
    <w:p w14:paraId="0721BA50" w14:textId="77777777" w:rsidR="00B42109" w:rsidRDefault="00B42109" w:rsidP="00B42109">
      <w:pPr>
        <w:pStyle w:val="NormaleWeb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341250"/>
      <w:r>
        <w:rPr>
          <w:rFonts w:ascii="Arial" w:hAnsi="Arial" w:cs="Arial"/>
          <w:b/>
          <w:bCs/>
          <w:color w:val="000000"/>
          <w:sz w:val="24"/>
          <w:szCs w:val="24"/>
        </w:rPr>
        <w:t>Comunicato stampa</w:t>
      </w:r>
    </w:p>
    <w:p w14:paraId="33F5380D" w14:textId="77777777" w:rsidR="00B42109" w:rsidRDefault="00B42109" w:rsidP="00B4210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341465"/>
      <w:bookmarkEnd w:id="0"/>
      <w:bookmarkEnd w:id="1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COMMERCIALISTI, PUBBLICATE LE RACCOMANDAZIONI PER L’APPLICAZIONE DELLA DISCIPLINA DI PRE-ALLERTA DEL TUSP ALLA LUCE DELL’EMERGENZA COVID-19</w:t>
      </w:r>
    </w:p>
    <w:p w14:paraId="3BF9C488" w14:textId="77777777" w:rsidR="00B42109" w:rsidRDefault="00B42109" w:rsidP="00B42109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  <w:r>
        <w:rPr>
          <w:rFonts w:ascii="Arial" w:hAnsi="Arial" w:cs="Arial"/>
          <w:i/>
          <w:iCs/>
          <w:color w:val="000000"/>
          <w:sz w:val="24"/>
          <w:szCs w:val="24"/>
        </w:rPr>
        <w:t>Roma, 17 luglio 2020 -</w:t>
      </w:r>
      <w:r>
        <w:rPr>
          <w:rFonts w:ascii="Arial" w:hAnsi="Arial" w:cs="Arial"/>
          <w:color w:val="000000"/>
          <w:sz w:val="24"/>
          <w:szCs w:val="24"/>
        </w:rPr>
        <w:t xml:space="preserve"> Il Consiglio Nazionale dei Dottori Commercialisti e degli Esperti Contabili ha pubblicato il documento “L’applicazione ragionata della disciplina della pre-allerta nelle società a controllo pubblico ai tempi del Covid-19”. Alla redazione hanno collaborato esperti in materia di società partecipate e crisi di impresa, oltre a rappresentanti della magistratura, Cerved e Abi.  </w:t>
      </w:r>
    </w:p>
    <w:p w14:paraId="77F57BE8" w14:textId="77777777" w:rsidR="00B42109" w:rsidRDefault="00B42109" w:rsidP="00B42109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F9F5FB4" w14:textId="77777777" w:rsidR="00B42109" w:rsidRDefault="00B42109" w:rsidP="00B42109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“Il documento – spiegano Davide Di Russo e Remigio Sequi, Consiglieri nazionali delegati all’area “Economia degli enti locali” che hanno coordinato i lavori - muove dalla constatazione che la legislazione relativa alla gestione dell’emergenza Covid-19 non ha sospeso la parte speciale della disciplina della crisi di impresa dettata, per le società a controllo pubblico, dagli artt. 6, co. 2 e 14, co. 2, 3, 4 e 5 del d.lgs. 175/2016, pur essendo questa integrata, per </w:t>
      </w:r>
      <w:r>
        <w:rPr>
          <w:rFonts w:ascii="Arial" w:hAnsi="Arial" w:cs="Arial"/>
          <w:i/>
          <w:iCs/>
          <w:color w:val="000000"/>
          <w:sz w:val="24"/>
          <w:szCs w:val="24"/>
        </w:rPr>
        <w:t>ratio</w:t>
      </w:r>
      <w:r>
        <w:rPr>
          <w:rFonts w:ascii="Arial" w:hAnsi="Arial" w:cs="Arial"/>
          <w:color w:val="000000"/>
          <w:sz w:val="24"/>
          <w:szCs w:val="24"/>
        </w:rPr>
        <w:t xml:space="preserve"> ispiratrice, al sistema di allerta predisposto dal Codice della crisi di impresa e dell’insolvenza, la cui entrata in vigore è invece stata differita dal Decreto Liquidità”.</w:t>
      </w:r>
    </w:p>
    <w:p w14:paraId="40274FF0" w14:textId="77777777" w:rsidR="00B42109" w:rsidRDefault="00B42109" w:rsidP="00B42109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F3271F8" w14:textId="77777777" w:rsidR="00B42109" w:rsidRDefault="00B42109" w:rsidP="00B42109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“In tale ottica – proseguono Di Russo e Sequi - si evidenzia la necessità di un’applicazione ragionata delle disposizioni in questione, dettata dall’assoluta eccezionalità del contesto emergenziale. Di conseguenza, si raccomanda agli operatori (organi amministrativi e di controllo, nonché soci pubblici) di privilegiare una gestione conservativa e, sempreché non si tratti di impresa già in difficoltà prima dell’emergenza Covid-19, di soprassedere, pur a fronte dell’emersione di indicatori di crisi aziendale, dall’adottare misure e provvedimenti altrimenti imposti – in un contesto di normalità – ai sensi dell’art. 14 del TUSP”.</w:t>
      </w:r>
    </w:p>
    <w:p w14:paraId="0D4B1163" w14:textId="77777777" w:rsidR="00B42109" w:rsidRDefault="00B42109" w:rsidP="00B42109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3E6B1B9" w14:textId="77777777" w:rsidR="00B42109" w:rsidRDefault="00B42109" w:rsidP="00B42109">
      <w:pPr>
        <w:pStyle w:val="Normale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“Il documento – concludono i due consiglieri nazionali – ha un importante rilievo pratico, in quanto suggerisce, in chiusura, un </w:t>
      </w:r>
      <w:r>
        <w:rPr>
          <w:rFonts w:ascii="Arial" w:hAnsi="Arial" w:cs="Arial"/>
          <w:i/>
          <w:iCs/>
          <w:color w:val="000000"/>
          <w:sz w:val="24"/>
          <w:szCs w:val="24"/>
        </w:rPr>
        <w:t>iter</w:t>
      </w:r>
      <w:r>
        <w:rPr>
          <w:rFonts w:ascii="Arial" w:hAnsi="Arial" w:cs="Arial"/>
          <w:color w:val="000000"/>
          <w:sz w:val="24"/>
          <w:szCs w:val="24"/>
        </w:rPr>
        <w:t xml:space="preserve"> argomentativo a sostegno di tale condotta prudenziale, rassicurando sul fatto che simile scelta operativa dovrebbe risultare immune dalla denunzia per gravi irregolarità </w:t>
      </w:r>
      <w:r>
        <w:rPr>
          <w:rFonts w:ascii="Arial" w:hAnsi="Arial" w:cs="Arial"/>
          <w:i/>
          <w:iCs/>
          <w:color w:val="000000"/>
          <w:sz w:val="24"/>
          <w:szCs w:val="24"/>
        </w:rPr>
        <w:t>ex</w:t>
      </w:r>
      <w:r>
        <w:rPr>
          <w:rFonts w:ascii="Arial" w:hAnsi="Arial" w:cs="Arial"/>
          <w:color w:val="000000"/>
          <w:sz w:val="24"/>
          <w:szCs w:val="24"/>
        </w:rPr>
        <w:t xml:space="preserve"> art. 2409 cod. civ., senza poter del pari configurare, più in generale, titolo di responsabilità a carico degli organi societari e del socio pubblico”.</w:t>
      </w:r>
    </w:p>
    <w:p w14:paraId="579712DC" w14:textId="59BB7922" w:rsidR="006654CA" w:rsidRDefault="006654CA" w:rsidP="00753D28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6654CA" w:rsidSect="007A4EB6">
      <w:headerReference w:type="default" r:id="rId7"/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E526B" w14:textId="77777777" w:rsidR="001A401F" w:rsidRDefault="001A401F" w:rsidP="00C24345">
      <w:pPr>
        <w:spacing w:after="0" w:line="240" w:lineRule="auto"/>
      </w:pPr>
      <w:r>
        <w:separator/>
      </w:r>
    </w:p>
  </w:endnote>
  <w:endnote w:type="continuationSeparator" w:id="0">
    <w:p w14:paraId="3DED6942" w14:textId="77777777" w:rsidR="001A401F" w:rsidRDefault="001A401F" w:rsidP="00C2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72CF" w14:textId="77777777" w:rsidR="001A401F" w:rsidRDefault="001A401F" w:rsidP="00C24345">
      <w:pPr>
        <w:spacing w:after="0" w:line="240" w:lineRule="auto"/>
      </w:pPr>
      <w:r>
        <w:separator/>
      </w:r>
    </w:p>
  </w:footnote>
  <w:footnote w:type="continuationSeparator" w:id="0">
    <w:p w14:paraId="65116E9E" w14:textId="77777777" w:rsidR="001A401F" w:rsidRDefault="001A401F" w:rsidP="00C2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0E64" w14:textId="6235CAC2" w:rsidR="0055379F" w:rsidRDefault="0055379F">
    <w:pPr>
      <w:pStyle w:val="Intestazione"/>
    </w:pPr>
    <w:r w:rsidRPr="00A945F8">
      <w:rPr>
        <w:noProof/>
      </w:rPr>
      <w:drawing>
        <wp:inline distT="0" distB="0" distL="0" distR="0" wp14:anchorId="44B06864" wp14:editId="2CF6B3E9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734D2"/>
    <w:multiLevelType w:val="hybridMultilevel"/>
    <w:tmpl w:val="23A48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473E"/>
    <w:multiLevelType w:val="hybridMultilevel"/>
    <w:tmpl w:val="98847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C5D8C"/>
    <w:multiLevelType w:val="hybridMultilevel"/>
    <w:tmpl w:val="33243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EE"/>
    <w:rsid w:val="00030E0E"/>
    <w:rsid w:val="000452F7"/>
    <w:rsid w:val="000622B2"/>
    <w:rsid w:val="000C4486"/>
    <w:rsid w:val="000D4F92"/>
    <w:rsid w:val="000E2A21"/>
    <w:rsid w:val="00112515"/>
    <w:rsid w:val="0015187B"/>
    <w:rsid w:val="001609BC"/>
    <w:rsid w:val="00162B01"/>
    <w:rsid w:val="00182886"/>
    <w:rsid w:val="001A401F"/>
    <w:rsid w:val="00211010"/>
    <w:rsid w:val="002520BC"/>
    <w:rsid w:val="003078C6"/>
    <w:rsid w:val="0038655D"/>
    <w:rsid w:val="00410D49"/>
    <w:rsid w:val="00416E01"/>
    <w:rsid w:val="00454455"/>
    <w:rsid w:val="0046204A"/>
    <w:rsid w:val="005019BA"/>
    <w:rsid w:val="00533B8F"/>
    <w:rsid w:val="00547B54"/>
    <w:rsid w:val="0055379F"/>
    <w:rsid w:val="005577A6"/>
    <w:rsid w:val="005B19AD"/>
    <w:rsid w:val="005D01E9"/>
    <w:rsid w:val="005F1865"/>
    <w:rsid w:val="006049B3"/>
    <w:rsid w:val="006478D8"/>
    <w:rsid w:val="00662C7A"/>
    <w:rsid w:val="006654CA"/>
    <w:rsid w:val="006F00A5"/>
    <w:rsid w:val="00720BF9"/>
    <w:rsid w:val="00753D28"/>
    <w:rsid w:val="00792D41"/>
    <w:rsid w:val="007E078E"/>
    <w:rsid w:val="00851BB1"/>
    <w:rsid w:val="00887C20"/>
    <w:rsid w:val="009100F9"/>
    <w:rsid w:val="0093279D"/>
    <w:rsid w:val="009F5CF6"/>
    <w:rsid w:val="00A42251"/>
    <w:rsid w:val="00A61565"/>
    <w:rsid w:val="00AC770E"/>
    <w:rsid w:val="00AD5B54"/>
    <w:rsid w:val="00B25A55"/>
    <w:rsid w:val="00B42109"/>
    <w:rsid w:val="00B60E8A"/>
    <w:rsid w:val="00BA0F42"/>
    <w:rsid w:val="00BA3E1E"/>
    <w:rsid w:val="00BB5FB8"/>
    <w:rsid w:val="00BC1595"/>
    <w:rsid w:val="00BC6CB1"/>
    <w:rsid w:val="00BD622B"/>
    <w:rsid w:val="00BF50EC"/>
    <w:rsid w:val="00C03F69"/>
    <w:rsid w:val="00C24345"/>
    <w:rsid w:val="00C44D15"/>
    <w:rsid w:val="00C457D5"/>
    <w:rsid w:val="00C51322"/>
    <w:rsid w:val="00C51D3B"/>
    <w:rsid w:val="00CA5580"/>
    <w:rsid w:val="00CC0CEE"/>
    <w:rsid w:val="00CC1109"/>
    <w:rsid w:val="00CC4037"/>
    <w:rsid w:val="00CC4645"/>
    <w:rsid w:val="00CE18B7"/>
    <w:rsid w:val="00D145F9"/>
    <w:rsid w:val="00DD5B8B"/>
    <w:rsid w:val="00DE235B"/>
    <w:rsid w:val="00DF1D0B"/>
    <w:rsid w:val="00DF7F9E"/>
    <w:rsid w:val="00E44BFF"/>
    <w:rsid w:val="00E50A5A"/>
    <w:rsid w:val="00EA3C43"/>
    <w:rsid w:val="00EA6D47"/>
    <w:rsid w:val="00EC6200"/>
    <w:rsid w:val="00ED5BD2"/>
    <w:rsid w:val="00F15879"/>
    <w:rsid w:val="00F4663E"/>
    <w:rsid w:val="00F50F4C"/>
    <w:rsid w:val="00FB524E"/>
    <w:rsid w:val="00FD0116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C1AD"/>
  <w15:chartTrackingRefBased/>
  <w15:docId w15:val="{DEA93F95-566F-4B69-B65E-4584B1F0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2434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4345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2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43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43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434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0452F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53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79F"/>
  </w:style>
  <w:style w:type="paragraph" w:styleId="Pidipagina">
    <w:name w:val="footer"/>
    <w:basedOn w:val="Normale"/>
    <w:link w:val="PidipaginaCarattere"/>
    <w:uiPriority w:val="99"/>
    <w:unhideWhenUsed/>
    <w:rsid w:val="00553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79F"/>
  </w:style>
  <w:style w:type="paragraph" w:styleId="NormaleWeb">
    <w:name w:val="Normal (Web)"/>
    <w:basedOn w:val="Normale"/>
    <w:uiPriority w:val="99"/>
    <w:semiHidden/>
    <w:unhideWhenUsed/>
    <w:rsid w:val="000E2A21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2020-07-17T12:53:00Z</dcterms:created>
  <dcterms:modified xsi:type="dcterms:W3CDTF">2020-07-17T12:54:00Z</dcterms:modified>
</cp:coreProperties>
</file>