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EA478" w14:textId="77777777" w:rsidR="007F0536" w:rsidRPr="00602535" w:rsidRDefault="007F0536" w:rsidP="00602535">
      <w:pPr>
        <w:suppressAutoHyphens/>
        <w:autoSpaceDN w:val="0"/>
        <w:jc w:val="both"/>
        <w:textAlignment w:val="baseline"/>
        <w:rPr>
          <w:rFonts w:ascii="Arial" w:eastAsia="Times New Roman" w:hAnsi="Arial" w:cs="Arial"/>
          <w:b/>
          <w:bCs/>
          <w:u w:val="single"/>
        </w:rPr>
      </w:pPr>
    </w:p>
    <w:p w14:paraId="549D8FC4" w14:textId="77777777" w:rsidR="00F319D2" w:rsidRDefault="00F319D2" w:rsidP="00F319D2">
      <w:pPr>
        <w:jc w:val="center"/>
        <w:rPr>
          <w:color w:val="000000"/>
        </w:rPr>
      </w:pPr>
      <w:bookmarkStart w:id="0" w:name="_MailOriginal"/>
      <w:r>
        <w:rPr>
          <w:rFonts w:ascii="Arial" w:hAnsi="Arial" w:cs="Arial"/>
          <w:b/>
          <w:bCs/>
          <w:color w:val="000000"/>
          <w:sz w:val="24"/>
          <w:szCs w:val="24"/>
        </w:rPr>
        <w:t>Comunicato stampa</w:t>
      </w:r>
      <w:bookmarkStart w:id="1" w:name="_Toc41599227"/>
      <w:bookmarkStart w:id="2" w:name="_Toc68704615"/>
      <w:r>
        <w:rPr>
          <w:rFonts w:ascii="Arial" w:hAnsi="Arial" w:cs="Arial"/>
          <w:b/>
          <w:bCs/>
          <w:color w:val="000000"/>
          <w:sz w:val="24"/>
          <w:szCs w:val="24"/>
        </w:rPr>
        <w:t> </w:t>
      </w:r>
    </w:p>
    <w:p w14:paraId="3BA1393B" w14:textId="77777777" w:rsidR="00F319D2" w:rsidRDefault="00F319D2" w:rsidP="00F319D2">
      <w:pPr>
        <w:jc w:val="center"/>
        <w:rPr>
          <w:color w:val="000000"/>
        </w:rPr>
      </w:pPr>
      <w:bookmarkStart w:id="3" w:name="_Toc235425486"/>
      <w:r>
        <w:rPr>
          <w:rFonts w:ascii="Arial" w:hAnsi="Arial" w:cs="Arial"/>
          <w:b/>
          <w:bCs/>
          <w:color w:val="000000"/>
          <w:sz w:val="24"/>
          <w:szCs w:val="24"/>
        </w:rPr>
        <w:t> </w:t>
      </w:r>
    </w:p>
    <w:p w14:paraId="331D5CE8" w14:textId="77777777" w:rsidR="00F319D2" w:rsidRDefault="00F319D2" w:rsidP="00F319D2">
      <w:pPr>
        <w:jc w:val="center"/>
        <w:rPr>
          <w:color w:val="000000"/>
        </w:rPr>
      </w:pPr>
      <w:r>
        <w:rPr>
          <w:rFonts w:ascii="Arial" w:hAnsi="Arial" w:cs="Arial"/>
          <w:b/>
          <w:bCs/>
          <w:color w:val="000000"/>
          <w:sz w:val="24"/>
          <w:szCs w:val="24"/>
        </w:rPr>
        <w:t>TERZO SETTORE, DAI COMMERCIALISTI UN VOLUME SUI BILANCI </w:t>
      </w:r>
    </w:p>
    <w:p w14:paraId="08820D45" w14:textId="77777777" w:rsidR="00F319D2" w:rsidRDefault="00F319D2" w:rsidP="00F319D2">
      <w:pPr>
        <w:jc w:val="center"/>
        <w:rPr>
          <w:color w:val="000000"/>
        </w:rPr>
      </w:pPr>
      <w:r>
        <w:rPr>
          <w:rFonts w:ascii="Arial" w:hAnsi="Arial" w:cs="Arial"/>
          <w:b/>
          <w:bCs/>
          <w:color w:val="000000"/>
          <w:sz w:val="24"/>
          <w:szCs w:val="24"/>
        </w:rPr>
        <w:t>La pubblicazione, che analizza il decreto del Ministero del lavoro e delle politiche sociali del 5 marzo 2020 e dell’OIC 35 Principio Contabile ETS, è scaricabile gratuitamente dal sito della Fondazione nazionale della categoria </w:t>
      </w:r>
    </w:p>
    <w:p w14:paraId="0043D382" w14:textId="77777777" w:rsidR="00F319D2" w:rsidRDefault="00F319D2" w:rsidP="00F319D2">
      <w:pPr>
        <w:jc w:val="center"/>
        <w:rPr>
          <w:color w:val="000000"/>
        </w:rPr>
      </w:pPr>
      <w:r>
        <w:rPr>
          <w:rFonts w:ascii="Arial" w:hAnsi="Arial" w:cs="Arial"/>
          <w:b/>
          <w:bCs/>
          <w:color w:val="000000"/>
          <w:sz w:val="24"/>
          <w:szCs w:val="24"/>
        </w:rPr>
        <w:t> </w:t>
      </w:r>
    </w:p>
    <w:bookmarkEnd w:id="1"/>
    <w:bookmarkEnd w:id="2"/>
    <w:bookmarkEnd w:id="3"/>
    <w:p w14:paraId="4515C19F" w14:textId="77777777" w:rsidR="00F319D2" w:rsidRDefault="00F319D2" w:rsidP="00F319D2">
      <w:pPr>
        <w:jc w:val="both"/>
        <w:rPr>
          <w:color w:val="000000"/>
        </w:rPr>
      </w:pPr>
      <w:r>
        <w:rPr>
          <w:rFonts w:ascii="Arial" w:hAnsi="Arial" w:cs="Arial"/>
          <w:i/>
          <w:iCs/>
          <w:color w:val="000000"/>
        </w:rPr>
        <w:t>Roma, 17 marzo 2022 -</w:t>
      </w:r>
      <w:r>
        <w:rPr>
          <w:rFonts w:ascii="Arial" w:hAnsi="Arial" w:cs="Arial"/>
          <w:color w:val="000000"/>
        </w:rPr>
        <w:t xml:space="preserve"> “</w:t>
      </w:r>
      <w:r>
        <w:rPr>
          <w:rFonts w:ascii="Arial" w:hAnsi="Arial" w:cs="Arial"/>
          <w:b/>
          <w:bCs/>
          <w:color w:val="000000"/>
        </w:rPr>
        <w:t>Il bilancio degli enti del Terzo settore. Analisi del decreto del Ministero del lavoro e delle politiche sociali del 5 marzo 2020 e dell’OIC 35 Principio Contabile ETS</w:t>
      </w:r>
      <w:bookmarkStart w:id="4" w:name="_Hlk98403860"/>
      <w:bookmarkEnd w:id="4"/>
      <w:r>
        <w:rPr>
          <w:rFonts w:ascii="Arial" w:hAnsi="Arial" w:cs="Arial"/>
          <w:color w:val="000000"/>
        </w:rPr>
        <w:t xml:space="preserve">”: è il titolo del volume del Professor </w:t>
      </w:r>
      <w:r>
        <w:rPr>
          <w:rFonts w:ascii="Arial" w:hAnsi="Arial" w:cs="Arial"/>
          <w:b/>
          <w:bCs/>
          <w:color w:val="000000"/>
        </w:rPr>
        <w:t>Matteo Pozzoli</w:t>
      </w:r>
      <w:r>
        <w:rPr>
          <w:rFonts w:ascii="Arial" w:hAnsi="Arial" w:cs="Arial"/>
          <w:color w:val="000000"/>
        </w:rPr>
        <w:t xml:space="preserve">, pubblicato dalla </w:t>
      </w:r>
      <w:r>
        <w:rPr>
          <w:rFonts w:ascii="Arial" w:hAnsi="Arial" w:cs="Arial"/>
          <w:b/>
          <w:bCs/>
          <w:color w:val="000000"/>
        </w:rPr>
        <w:t>Fondazione e dal Consiglio nazionali dei commercialisti</w:t>
      </w:r>
      <w:r>
        <w:rPr>
          <w:rFonts w:ascii="Arial" w:hAnsi="Arial" w:cs="Arial"/>
          <w:color w:val="000000"/>
        </w:rPr>
        <w:t xml:space="preserve"> e </w:t>
      </w:r>
      <w:r>
        <w:rPr>
          <w:rFonts w:ascii="Arial" w:hAnsi="Arial" w:cs="Arial"/>
          <w:b/>
          <w:bCs/>
          <w:color w:val="000000"/>
        </w:rPr>
        <w:t>scaricabile gratuitamente</w:t>
      </w:r>
      <w:r>
        <w:rPr>
          <w:rFonts w:ascii="Arial" w:hAnsi="Arial" w:cs="Arial"/>
          <w:color w:val="000000"/>
        </w:rPr>
        <w:t xml:space="preserve"> dal sito della stessa Fondazione (</w:t>
      </w:r>
      <w:hyperlink r:id="rId8" w:history="1">
        <w:r>
          <w:rPr>
            <w:rStyle w:val="Collegamentoipertestuale"/>
            <w:rFonts w:ascii="Arial" w:hAnsi="Arial" w:cs="Arial"/>
          </w:rPr>
          <w:t>www.fondazionenazionalecommercialisti.it</w:t>
        </w:r>
      </w:hyperlink>
      <w:r>
        <w:rPr>
          <w:rFonts w:ascii="Arial" w:hAnsi="Arial" w:cs="Arial"/>
          <w:color w:val="000000"/>
        </w:rPr>
        <w:t>).  </w:t>
      </w:r>
    </w:p>
    <w:p w14:paraId="6EB1CEB9" w14:textId="77777777" w:rsidR="00F319D2" w:rsidRDefault="00F319D2" w:rsidP="00F319D2">
      <w:pPr>
        <w:jc w:val="both"/>
        <w:rPr>
          <w:color w:val="000000"/>
        </w:rPr>
      </w:pPr>
      <w:r>
        <w:rPr>
          <w:rFonts w:ascii="Arial" w:hAnsi="Arial" w:cs="Arial"/>
          <w:color w:val="000000"/>
        </w:rPr>
        <w:t> </w:t>
      </w:r>
    </w:p>
    <w:p w14:paraId="36546EE4" w14:textId="77777777" w:rsidR="00F319D2" w:rsidRDefault="00F319D2" w:rsidP="00F319D2">
      <w:pPr>
        <w:jc w:val="both"/>
        <w:rPr>
          <w:color w:val="000000"/>
        </w:rPr>
      </w:pPr>
      <w:r>
        <w:rPr>
          <w:rFonts w:ascii="Arial" w:hAnsi="Arial" w:cs="Arial"/>
          <w:color w:val="000000"/>
        </w:rPr>
        <w:t xml:space="preserve">Il </w:t>
      </w:r>
      <w:r>
        <w:rPr>
          <w:rFonts w:ascii="Arial" w:hAnsi="Arial" w:cs="Arial"/>
          <w:b/>
          <w:bCs/>
          <w:color w:val="000000"/>
        </w:rPr>
        <w:t>Ministero del Lavoro</w:t>
      </w:r>
      <w:r>
        <w:rPr>
          <w:rFonts w:ascii="Arial" w:hAnsi="Arial" w:cs="Arial"/>
          <w:color w:val="000000"/>
        </w:rPr>
        <w:t xml:space="preserve"> ha pubblicato il 5 marzo 2020 il decreto recante “</w:t>
      </w:r>
      <w:r>
        <w:rPr>
          <w:rFonts w:ascii="Arial" w:hAnsi="Arial" w:cs="Arial"/>
          <w:b/>
          <w:bCs/>
          <w:color w:val="000000"/>
        </w:rPr>
        <w:t>Adozione della modulistica di bilancio degli enti del Terzo settore</w:t>
      </w:r>
      <w:r>
        <w:rPr>
          <w:rFonts w:ascii="Arial" w:hAnsi="Arial" w:cs="Arial"/>
          <w:color w:val="000000"/>
        </w:rPr>
        <w:t xml:space="preserve">”, che, attuando la richiesta dell’art. 13, co. 3 del </w:t>
      </w:r>
      <w:proofErr w:type="spellStart"/>
      <w:r>
        <w:rPr>
          <w:rFonts w:ascii="Arial" w:hAnsi="Arial" w:cs="Arial"/>
          <w:color w:val="000000"/>
        </w:rPr>
        <w:t>Cts</w:t>
      </w:r>
      <w:proofErr w:type="spellEnd"/>
      <w:r>
        <w:rPr>
          <w:rFonts w:ascii="Arial" w:hAnsi="Arial" w:cs="Arial"/>
          <w:color w:val="000000"/>
        </w:rPr>
        <w:t xml:space="preserve">, ha di fatto formalizzato </w:t>
      </w:r>
      <w:r>
        <w:rPr>
          <w:rFonts w:ascii="Arial" w:hAnsi="Arial" w:cs="Arial"/>
          <w:b/>
          <w:bCs/>
          <w:color w:val="000000"/>
        </w:rPr>
        <w:t>per la prima volta</w:t>
      </w:r>
      <w:r>
        <w:rPr>
          <w:rFonts w:ascii="Arial" w:hAnsi="Arial" w:cs="Arial"/>
          <w:color w:val="000000"/>
        </w:rPr>
        <w:t xml:space="preserve"> per gli enti non lucrativi un </w:t>
      </w:r>
      <w:r>
        <w:rPr>
          <w:rFonts w:ascii="Arial" w:hAnsi="Arial" w:cs="Arial"/>
          <w:b/>
          <w:bCs/>
          <w:color w:val="000000"/>
        </w:rPr>
        <w:t>sistema codificato</w:t>
      </w:r>
      <w:r>
        <w:rPr>
          <w:rFonts w:ascii="Arial" w:hAnsi="Arial" w:cs="Arial"/>
          <w:color w:val="000000"/>
        </w:rPr>
        <w:t xml:space="preserve"> di norme sugli </w:t>
      </w:r>
      <w:r>
        <w:rPr>
          <w:rFonts w:ascii="Arial" w:hAnsi="Arial" w:cs="Arial"/>
          <w:b/>
          <w:bCs/>
          <w:color w:val="000000"/>
        </w:rPr>
        <w:t>schemi di bilancio</w:t>
      </w:r>
      <w:r>
        <w:rPr>
          <w:rFonts w:ascii="Arial" w:hAnsi="Arial" w:cs="Arial"/>
          <w:color w:val="000000"/>
        </w:rPr>
        <w:t xml:space="preserve">. Nel febbraio 2022, </w:t>
      </w:r>
      <w:r>
        <w:rPr>
          <w:rFonts w:ascii="Arial" w:hAnsi="Arial" w:cs="Arial"/>
          <w:b/>
          <w:bCs/>
          <w:color w:val="000000"/>
        </w:rPr>
        <w:t>l’Organismo Italiano di Contabilità</w:t>
      </w:r>
      <w:r>
        <w:rPr>
          <w:rFonts w:ascii="Arial" w:hAnsi="Arial" w:cs="Arial"/>
          <w:color w:val="000000"/>
        </w:rPr>
        <w:t xml:space="preserve">, standard setter nazionale in materia di principi contabili, ha, quindi, completato il “framework contabile”, pubblicando </w:t>
      </w:r>
      <w:r>
        <w:rPr>
          <w:rFonts w:ascii="Arial" w:hAnsi="Arial" w:cs="Arial"/>
          <w:b/>
          <w:bCs/>
          <w:color w:val="000000"/>
        </w:rPr>
        <w:t>l’OIC 35 Principio contabile ETS</w:t>
      </w:r>
      <w:r>
        <w:rPr>
          <w:rFonts w:ascii="Arial" w:hAnsi="Arial" w:cs="Arial"/>
          <w:color w:val="000000"/>
        </w:rPr>
        <w:t>.  </w:t>
      </w:r>
    </w:p>
    <w:p w14:paraId="602EF904" w14:textId="77777777" w:rsidR="00F319D2" w:rsidRDefault="00F319D2" w:rsidP="00F319D2">
      <w:pPr>
        <w:jc w:val="both"/>
        <w:rPr>
          <w:color w:val="000000"/>
        </w:rPr>
      </w:pPr>
      <w:r>
        <w:rPr>
          <w:rFonts w:ascii="Arial" w:hAnsi="Arial" w:cs="Arial"/>
          <w:color w:val="000000"/>
        </w:rPr>
        <w:t> </w:t>
      </w:r>
    </w:p>
    <w:p w14:paraId="051406A4" w14:textId="77777777" w:rsidR="00F319D2" w:rsidRDefault="00F319D2" w:rsidP="00F319D2">
      <w:pPr>
        <w:jc w:val="both"/>
        <w:rPr>
          <w:color w:val="000000"/>
        </w:rPr>
      </w:pPr>
      <w:r>
        <w:rPr>
          <w:rFonts w:ascii="Arial" w:hAnsi="Arial" w:cs="Arial"/>
          <w:color w:val="000000"/>
        </w:rPr>
        <w:t xml:space="preserve">La tempistica di diffusione del testo non è casuale. Proprio in questo periodo gli ETS di diritto (Organizzazioni di volontariato, Associazioni di promozione sociale e Organizzazioni non lucrative di utilità sociale) si stanno apprestando a predisporre il </w:t>
      </w:r>
      <w:r>
        <w:rPr>
          <w:rFonts w:ascii="Arial" w:hAnsi="Arial" w:cs="Arial"/>
          <w:b/>
          <w:bCs/>
          <w:color w:val="000000"/>
        </w:rPr>
        <w:t>primo bilancio</w:t>
      </w:r>
      <w:r>
        <w:rPr>
          <w:rFonts w:ascii="Arial" w:hAnsi="Arial" w:cs="Arial"/>
          <w:color w:val="000000"/>
        </w:rPr>
        <w:t xml:space="preserve"> conforme alle richiamate nuove previsioni. Il volume vuole approcciare la materia da un punto di vista </w:t>
      </w:r>
      <w:r>
        <w:rPr>
          <w:rFonts w:ascii="Arial" w:hAnsi="Arial" w:cs="Arial"/>
          <w:b/>
          <w:bCs/>
          <w:color w:val="000000"/>
        </w:rPr>
        <w:t>non meramente tecnico-contabile</w:t>
      </w:r>
      <w:r>
        <w:rPr>
          <w:rFonts w:ascii="Arial" w:hAnsi="Arial" w:cs="Arial"/>
          <w:color w:val="000000"/>
        </w:rPr>
        <w:t xml:space="preserve">, cercando di analizzare le connessioni che </w:t>
      </w:r>
      <w:r>
        <w:rPr>
          <w:rFonts w:ascii="Arial" w:hAnsi="Arial" w:cs="Arial"/>
          <w:b/>
          <w:bCs/>
          <w:color w:val="000000"/>
        </w:rPr>
        <w:t>l’informativa di bilancio</w:t>
      </w:r>
      <w:r>
        <w:rPr>
          <w:rFonts w:ascii="Arial" w:hAnsi="Arial" w:cs="Arial"/>
          <w:color w:val="000000"/>
        </w:rPr>
        <w:t xml:space="preserve">, riprodotta sinteticamente nei prospetti quantitativi e qualitativi di fine periodo, ha con gli </w:t>
      </w:r>
      <w:r>
        <w:rPr>
          <w:rFonts w:ascii="Arial" w:hAnsi="Arial" w:cs="Arial"/>
          <w:b/>
          <w:bCs/>
          <w:color w:val="000000"/>
        </w:rPr>
        <w:t>adempimenti civilistici</w:t>
      </w:r>
      <w:r>
        <w:rPr>
          <w:rFonts w:ascii="Arial" w:hAnsi="Arial" w:cs="Arial"/>
          <w:color w:val="000000"/>
        </w:rPr>
        <w:t xml:space="preserve"> e di diversa natura connessi. In questo modo, mira ad evidenziare come la stesura del bilancio costituisca solo l’ultima fase di un percorso di </w:t>
      </w:r>
      <w:r>
        <w:rPr>
          <w:rFonts w:ascii="Arial" w:hAnsi="Arial" w:cs="Arial"/>
          <w:b/>
          <w:bCs/>
          <w:color w:val="000000"/>
        </w:rPr>
        <w:t>buona gestione dell’ente</w:t>
      </w:r>
      <w:r>
        <w:rPr>
          <w:rFonts w:ascii="Arial" w:hAnsi="Arial" w:cs="Arial"/>
          <w:color w:val="000000"/>
        </w:rPr>
        <w:t>, che di fatto - grazie anche a un monitoraggio periodico dei risultati - supporta una amministrazione delle risorse consapevole e razionale.  </w:t>
      </w:r>
    </w:p>
    <w:p w14:paraId="6C4F828A" w14:textId="77777777" w:rsidR="00F319D2" w:rsidRDefault="00F319D2" w:rsidP="00F319D2">
      <w:pPr>
        <w:jc w:val="both"/>
        <w:rPr>
          <w:color w:val="000000"/>
        </w:rPr>
      </w:pPr>
      <w:r>
        <w:rPr>
          <w:rFonts w:ascii="Arial" w:hAnsi="Arial" w:cs="Arial"/>
          <w:color w:val="000000"/>
        </w:rPr>
        <w:t> </w:t>
      </w:r>
    </w:p>
    <w:p w14:paraId="414FD47B" w14:textId="77777777" w:rsidR="00F319D2" w:rsidRDefault="00F319D2" w:rsidP="00F319D2">
      <w:pPr>
        <w:jc w:val="both"/>
        <w:rPr>
          <w:color w:val="000000"/>
        </w:rPr>
      </w:pPr>
      <w:r>
        <w:rPr>
          <w:rFonts w:ascii="Arial" w:hAnsi="Arial" w:cs="Arial"/>
          <w:color w:val="000000"/>
        </w:rPr>
        <w:t xml:space="preserve">“Il testo – spiegano nell’introduzione i tre Commissari straordinari del Consiglio nazionale </w:t>
      </w:r>
      <w:r>
        <w:rPr>
          <w:rFonts w:ascii="Arial" w:hAnsi="Arial" w:cs="Arial"/>
          <w:b/>
          <w:bCs/>
          <w:color w:val="000000"/>
        </w:rPr>
        <w:t>Rosario Giorgio Costa</w:t>
      </w:r>
      <w:r>
        <w:rPr>
          <w:rFonts w:ascii="Arial" w:hAnsi="Arial" w:cs="Arial"/>
          <w:color w:val="000000"/>
        </w:rPr>
        <w:t xml:space="preserve">, </w:t>
      </w:r>
      <w:r>
        <w:rPr>
          <w:rFonts w:ascii="Arial" w:hAnsi="Arial" w:cs="Arial"/>
          <w:b/>
          <w:bCs/>
          <w:color w:val="000000"/>
        </w:rPr>
        <w:t>Paolo Giugliano</w:t>
      </w:r>
      <w:r>
        <w:rPr>
          <w:rFonts w:ascii="Arial" w:hAnsi="Arial" w:cs="Arial"/>
          <w:color w:val="000000"/>
        </w:rPr>
        <w:t xml:space="preserve"> e </w:t>
      </w:r>
      <w:r>
        <w:rPr>
          <w:rFonts w:ascii="Arial" w:hAnsi="Arial" w:cs="Arial"/>
          <w:b/>
          <w:bCs/>
          <w:color w:val="000000"/>
        </w:rPr>
        <w:t>Maria Rachele Vigani</w:t>
      </w:r>
      <w:r>
        <w:rPr>
          <w:rFonts w:ascii="Arial" w:hAnsi="Arial" w:cs="Arial"/>
          <w:color w:val="000000"/>
        </w:rPr>
        <w:t xml:space="preserve"> - rappresenta una rivisitazione ampliata, aggiornata e ricostruita del precedente volume pubblicato nel novembre 2020. Le modifiche in un periodo così denso di cambiamenti sono tali da aver richiesto la stesura di un testo “nuovo”, che possa agevolare commercialisti, operatori e studiosi nello studio delle varie disposizioni che interessano direttamente o indirettamente il bilancio degli Ets”.  </w:t>
      </w:r>
    </w:p>
    <w:p w14:paraId="2E973F56" w14:textId="77777777" w:rsidR="00F319D2" w:rsidRDefault="00F319D2" w:rsidP="00F319D2">
      <w:pPr>
        <w:jc w:val="both"/>
        <w:rPr>
          <w:color w:val="000000"/>
        </w:rPr>
      </w:pPr>
      <w:r>
        <w:rPr>
          <w:rFonts w:ascii="Arial" w:hAnsi="Arial" w:cs="Arial"/>
          <w:color w:val="000000"/>
        </w:rPr>
        <w:t> </w:t>
      </w:r>
    </w:p>
    <w:p w14:paraId="30A0C9CC" w14:textId="5DE5EAF9" w:rsidR="00AE7197" w:rsidRPr="00F319D2" w:rsidRDefault="00F319D2" w:rsidP="00F319D2">
      <w:pPr>
        <w:jc w:val="both"/>
        <w:rPr>
          <w:color w:val="000000"/>
        </w:rPr>
      </w:pPr>
      <w:r>
        <w:rPr>
          <w:rFonts w:ascii="Arial" w:hAnsi="Arial" w:cs="Arial"/>
          <w:color w:val="000000"/>
        </w:rPr>
        <w:t xml:space="preserve">L’autore del volume, </w:t>
      </w:r>
      <w:r>
        <w:rPr>
          <w:rFonts w:ascii="Arial" w:hAnsi="Arial" w:cs="Arial"/>
          <w:b/>
          <w:bCs/>
          <w:color w:val="000000"/>
        </w:rPr>
        <w:t>Matteo Pozzoli</w:t>
      </w:r>
      <w:r>
        <w:rPr>
          <w:rFonts w:ascii="Arial" w:hAnsi="Arial" w:cs="Arial"/>
          <w:color w:val="000000"/>
        </w:rPr>
        <w:t xml:space="preserve">, è professore associato di Economia aziendale presso l’Università degli Studi di Napoli “Parthenope”, consulente del Consiglio Nazionale dei Commercialisti per le aree non profit, principi contabili e valutazioni, e componente dell’Ufficio legislativo. Sempre per conto del Consiglio nazionale partecipa anche al Gruppo di lavoro sui principi contabili per il Terzo settore dell’Organismo Italiano di Contabilità e al Comitato scientifico dell’Associazione </w:t>
      </w:r>
      <w:proofErr w:type="spellStart"/>
      <w:r>
        <w:rPr>
          <w:rFonts w:ascii="Arial" w:hAnsi="Arial" w:cs="Arial"/>
          <w:color w:val="000000"/>
        </w:rPr>
        <w:t>Terzjus</w:t>
      </w:r>
      <w:proofErr w:type="spellEnd"/>
      <w:r>
        <w:rPr>
          <w:rFonts w:ascii="Arial" w:hAnsi="Arial" w:cs="Arial"/>
          <w:color w:val="000000"/>
        </w:rPr>
        <w:t>.</w:t>
      </w:r>
      <w:bookmarkEnd w:id="0"/>
    </w:p>
    <w:sectPr w:rsidR="00AE7197" w:rsidRPr="00F319D2">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4E2EB" w14:textId="77777777" w:rsidR="00552F50" w:rsidRDefault="00552F50" w:rsidP="00C244F9">
      <w:r>
        <w:separator/>
      </w:r>
    </w:p>
  </w:endnote>
  <w:endnote w:type="continuationSeparator" w:id="0">
    <w:p w14:paraId="4093E04A" w14:textId="77777777" w:rsidR="00552F50" w:rsidRDefault="00552F50" w:rsidP="00C2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C7B64" w14:textId="77777777" w:rsidR="00552F50" w:rsidRDefault="00552F50" w:rsidP="00C244F9">
      <w:r>
        <w:separator/>
      </w:r>
    </w:p>
  </w:footnote>
  <w:footnote w:type="continuationSeparator" w:id="0">
    <w:p w14:paraId="69DD30CD" w14:textId="77777777" w:rsidR="00552F50" w:rsidRDefault="00552F50" w:rsidP="00C24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7E8B" w14:textId="541D4363" w:rsidR="00C244F9" w:rsidRDefault="00C244F9" w:rsidP="00C244F9">
    <w:pPr>
      <w:pStyle w:val="Intestazione"/>
      <w:jc w:val="center"/>
    </w:pPr>
    <w:r>
      <w:rPr>
        <w:noProof/>
      </w:rPr>
      <w:drawing>
        <wp:inline distT="0" distB="0" distL="0" distR="0" wp14:anchorId="50839309" wp14:editId="265CBC06">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01AF0B14" w14:textId="348486D0" w:rsidR="008C37D4" w:rsidRPr="002B78A5" w:rsidRDefault="008C37D4" w:rsidP="00C244F9">
    <w:pPr>
      <w:pStyle w:val="Intestazione"/>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B0CA5"/>
    <w:multiLevelType w:val="hybridMultilevel"/>
    <w:tmpl w:val="98B4C1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6DE2E54"/>
    <w:multiLevelType w:val="multilevel"/>
    <w:tmpl w:val="ECE6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12B13"/>
    <w:rsid w:val="00051A7C"/>
    <w:rsid w:val="00064BB1"/>
    <w:rsid w:val="00066C3D"/>
    <w:rsid w:val="000A156E"/>
    <w:rsid w:val="000B1BD1"/>
    <w:rsid w:val="000B235F"/>
    <w:rsid w:val="000B3656"/>
    <w:rsid w:val="000B3806"/>
    <w:rsid w:val="000C037B"/>
    <w:rsid w:val="000D60C6"/>
    <w:rsid w:val="00130A4E"/>
    <w:rsid w:val="00137250"/>
    <w:rsid w:val="00144BD8"/>
    <w:rsid w:val="00154A24"/>
    <w:rsid w:val="00176972"/>
    <w:rsid w:val="001A1D68"/>
    <w:rsid w:val="001F0475"/>
    <w:rsid w:val="00227B3C"/>
    <w:rsid w:val="00276BA4"/>
    <w:rsid w:val="0029157E"/>
    <w:rsid w:val="002B78A5"/>
    <w:rsid w:val="002C41B2"/>
    <w:rsid w:val="002C6BEA"/>
    <w:rsid w:val="002D4028"/>
    <w:rsid w:val="0031138F"/>
    <w:rsid w:val="00314B53"/>
    <w:rsid w:val="003539AF"/>
    <w:rsid w:val="00374EC0"/>
    <w:rsid w:val="003773A3"/>
    <w:rsid w:val="003935EA"/>
    <w:rsid w:val="003C2E00"/>
    <w:rsid w:val="003D0CE5"/>
    <w:rsid w:val="003E3FF8"/>
    <w:rsid w:val="00410906"/>
    <w:rsid w:val="00427803"/>
    <w:rsid w:val="004B26BB"/>
    <w:rsid w:val="004D027A"/>
    <w:rsid w:val="00502804"/>
    <w:rsid w:val="005419B9"/>
    <w:rsid w:val="00542E37"/>
    <w:rsid w:val="00552F50"/>
    <w:rsid w:val="00560DF1"/>
    <w:rsid w:val="00574FE2"/>
    <w:rsid w:val="00586B1F"/>
    <w:rsid w:val="005A46C4"/>
    <w:rsid w:val="005E55D7"/>
    <w:rsid w:val="00602535"/>
    <w:rsid w:val="00605191"/>
    <w:rsid w:val="006161FB"/>
    <w:rsid w:val="006273EA"/>
    <w:rsid w:val="00656D74"/>
    <w:rsid w:val="0066467C"/>
    <w:rsid w:val="00686B3A"/>
    <w:rsid w:val="006B481F"/>
    <w:rsid w:val="006F4EC2"/>
    <w:rsid w:val="00792220"/>
    <w:rsid w:val="007B4E5F"/>
    <w:rsid w:val="007F0536"/>
    <w:rsid w:val="0080067F"/>
    <w:rsid w:val="00800A12"/>
    <w:rsid w:val="0081049B"/>
    <w:rsid w:val="00813B39"/>
    <w:rsid w:val="00893C4E"/>
    <w:rsid w:val="008C37D4"/>
    <w:rsid w:val="00911D15"/>
    <w:rsid w:val="009258D3"/>
    <w:rsid w:val="00984D51"/>
    <w:rsid w:val="009C53C6"/>
    <w:rsid w:val="009F1487"/>
    <w:rsid w:val="009F4D75"/>
    <w:rsid w:val="00A34E59"/>
    <w:rsid w:val="00A604B1"/>
    <w:rsid w:val="00A866E4"/>
    <w:rsid w:val="00AE7197"/>
    <w:rsid w:val="00B02074"/>
    <w:rsid w:val="00B33AAD"/>
    <w:rsid w:val="00B44571"/>
    <w:rsid w:val="00B46E7F"/>
    <w:rsid w:val="00B73BD6"/>
    <w:rsid w:val="00B84783"/>
    <w:rsid w:val="00B84C0C"/>
    <w:rsid w:val="00B92689"/>
    <w:rsid w:val="00BB3D1D"/>
    <w:rsid w:val="00BC55A4"/>
    <w:rsid w:val="00C244F9"/>
    <w:rsid w:val="00C24C60"/>
    <w:rsid w:val="00C306B1"/>
    <w:rsid w:val="00C63146"/>
    <w:rsid w:val="00C719EB"/>
    <w:rsid w:val="00C74FC6"/>
    <w:rsid w:val="00C801B1"/>
    <w:rsid w:val="00CA5E3D"/>
    <w:rsid w:val="00CA7FD0"/>
    <w:rsid w:val="00CB6445"/>
    <w:rsid w:val="00CC30B9"/>
    <w:rsid w:val="00D0617D"/>
    <w:rsid w:val="00D06F3A"/>
    <w:rsid w:val="00D64987"/>
    <w:rsid w:val="00DA3824"/>
    <w:rsid w:val="00DB6DAF"/>
    <w:rsid w:val="00DD1BB9"/>
    <w:rsid w:val="00DE3A12"/>
    <w:rsid w:val="00DF6872"/>
    <w:rsid w:val="00E00966"/>
    <w:rsid w:val="00E25EB3"/>
    <w:rsid w:val="00E477DB"/>
    <w:rsid w:val="00E47BE0"/>
    <w:rsid w:val="00E50272"/>
    <w:rsid w:val="00E507D0"/>
    <w:rsid w:val="00E83416"/>
    <w:rsid w:val="00E97876"/>
    <w:rsid w:val="00EC0B46"/>
    <w:rsid w:val="00EC0BF9"/>
    <w:rsid w:val="00EC2930"/>
    <w:rsid w:val="00F04783"/>
    <w:rsid w:val="00F319D2"/>
    <w:rsid w:val="00F362C1"/>
    <w:rsid w:val="00F6642C"/>
    <w:rsid w:val="00FA00F8"/>
    <w:rsid w:val="00FE3D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852A5"/>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19D2"/>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pPr>
    <w:rPr>
      <w:rFonts w:asciiTheme="minorHAnsi" w:hAnsiTheme="minorHAnsi" w:cstheme="minorBidi"/>
      <w:lang w:eastAsia="en-US"/>
    </w:r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p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DD1BB9"/>
  </w:style>
  <w:style w:type="paragraph" w:customStyle="1" w:styleId="xmsonormal">
    <w:name w:val="x_msonormal"/>
    <w:basedOn w:val="Normale"/>
    <w:rsid w:val="0081049B"/>
    <w:pPr>
      <w:spacing w:before="100" w:beforeAutospacing="1" w:after="100" w:afterAutospacing="1"/>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64987"/>
    <w:rPr>
      <w:b/>
      <w:bCs/>
    </w:rPr>
  </w:style>
  <w:style w:type="paragraph" w:customStyle="1" w:styleId="Default">
    <w:name w:val="Default"/>
    <w:rsid w:val="009258D3"/>
    <w:pPr>
      <w:autoSpaceDE w:val="0"/>
      <w:autoSpaceDN w:val="0"/>
      <w:adjustRightInd w:val="0"/>
      <w:spacing w:after="0" w:line="240" w:lineRule="auto"/>
    </w:pPr>
    <w:rPr>
      <w:rFonts w:ascii="Calibri" w:eastAsia="Times New Roman" w:hAnsi="Calibri" w:cs="Calibri"/>
      <w:color w:val="000000"/>
      <w:sz w:val="24"/>
      <w:szCs w:val="24"/>
    </w:rPr>
  </w:style>
  <w:style w:type="paragraph" w:styleId="Paragrafoelenco">
    <w:name w:val="List Paragraph"/>
    <w:basedOn w:val="Normale"/>
    <w:uiPriority w:val="34"/>
    <w:qFormat/>
    <w:rsid w:val="00893C4E"/>
    <w:pPr>
      <w:spacing w:after="160" w:line="259" w:lineRule="auto"/>
      <w:ind w:left="720"/>
      <w:contextualSpacing/>
    </w:pPr>
    <w:rPr>
      <w:rFonts w:asciiTheme="minorHAnsi" w:hAnsiTheme="minorHAnsi" w:cstheme="minorBidi"/>
      <w:lang w:eastAsia="en-US"/>
    </w:rPr>
  </w:style>
  <w:style w:type="paragraph" w:styleId="Nessunaspaziatura">
    <w:name w:val="No Spacing"/>
    <w:uiPriority w:val="1"/>
    <w:qFormat/>
    <w:rsid w:val="00686B3A"/>
    <w:pPr>
      <w:spacing w:after="0" w:line="240" w:lineRule="auto"/>
    </w:pPr>
  </w:style>
  <w:style w:type="paragraph" w:customStyle="1" w:styleId="xmsoplaintext">
    <w:name w:val="x_msoplaintext"/>
    <w:basedOn w:val="Normale"/>
    <w:rsid w:val="006161FB"/>
    <w:pPr>
      <w:spacing w:before="100" w:beforeAutospacing="1" w:after="100" w:afterAutospacing="1"/>
    </w:pPr>
    <w:rPr>
      <w:rFonts w:ascii="Times New Roman" w:eastAsia="Times New Roman" w:hAnsi="Times New Roman" w:cs="Times New Roman"/>
      <w:sz w:val="24"/>
      <w:szCs w:val="24"/>
    </w:rPr>
  </w:style>
  <w:style w:type="paragraph" w:customStyle="1" w:styleId="xxp1">
    <w:name w:val="x_x_p1"/>
    <w:basedOn w:val="Normale"/>
    <w:rsid w:val="00602535"/>
    <w:pPr>
      <w:spacing w:before="100" w:beforeAutospacing="1" w:after="100" w:afterAutospacing="1"/>
    </w:pPr>
  </w:style>
  <w:style w:type="paragraph" w:customStyle="1" w:styleId="xxp2">
    <w:name w:val="x_x_p2"/>
    <w:basedOn w:val="Normale"/>
    <w:rsid w:val="00602535"/>
    <w:pPr>
      <w:spacing w:before="100" w:beforeAutospacing="1" w:after="100" w:afterAutospacing="1"/>
    </w:pPr>
  </w:style>
  <w:style w:type="paragraph" w:customStyle="1" w:styleId="xxp3">
    <w:name w:val="x_x_p3"/>
    <w:basedOn w:val="Normale"/>
    <w:rsid w:val="00602535"/>
    <w:pPr>
      <w:spacing w:before="100" w:beforeAutospacing="1" w:after="100" w:afterAutospacing="1"/>
    </w:pPr>
  </w:style>
  <w:style w:type="character" w:customStyle="1" w:styleId="xxapple-converted-space">
    <w:name w:val="x_x_apple-converted-space"/>
    <w:basedOn w:val="Carpredefinitoparagrafo"/>
    <w:rsid w:val="00602535"/>
  </w:style>
  <w:style w:type="character" w:customStyle="1" w:styleId="xxs1">
    <w:name w:val="x_x_s1"/>
    <w:basedOn w:val="Carpredefinitoparagrafo"/>
    <w:rsid w:val="00602535"/>
  </w:style>
  <w:style w:type="character" w:customStyle="1" w:styleId="xxs2">
    <w:name w:val="x_x_s2"/>
    <w:basedOn w:val="Carpredefinitoparagrafo"/>
    <w:rsid w:val="00602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54569">
      <w:bodyDiv w:val="1"/>
      <w:marLeft w:val="0"/>
      <w:marRight w:val="0"/>
      <w:marTop w:val="0"/>
      <w:marBottom w:val="0"/>
      <w:divBdr>
        <w:top w:val="none" w:sz="0" w:space="0" w:color="auto"/>
        <w:left w:val="none" w:sz="0" w:space="0" w:color="auto"/>
        <w:bottom w:val="none" w:sz="0" w:space="0" w:color="auto"/>
        <w:right w:val="none" w:sz="0" w:space="0" w:color="auto"/>
      </w:divBdr>
    </w:div>
    <w:div w:id="266813592">
      <w:bodyDiv w:val="1"/>
      <w:marLeft w:val="0"/>
      <w:marRight w:val="0"/>
      <w:marTop w:val="0"/>
      <w:marBottom w:val="0"/>
      <w:divBdr>
        <w:top w:val="none" w:sz="0" w:space="0" w:color="auto"/>
        <w:left w:val="none" w:sz="0" w:space="0" w:color="auto"/>
        <w:bottom w:val="none" w:sz="0" w:space="0" w:color="auto"/>
        <w:right w:val="none" w:sz="0" w:space="0" w:color="auto"/>
      </w:divBdr>
    </w:div>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390277360">
      <w:bodyDiv w:val="1"/>
      <w:marLeft w:val="0"/>
      <w:marRight w:val="0"/>
      <w:marTop w:val="0"/>
      <w:marBottom w:val="0"/>
      <w:divBdr>
        <w:top w:val="none" w:sz="0" w:space="0" w:color="auto"/>
        <w:left w:val="none" w:sz="0" w:space="0" w:color="auto"/>
        <w:bottom w:val="none" w:sz="0" w:space="0" w:color="auto"/>
        <w:right w:val="none" w:sz="0" w:space="0" w:color="auto"/>
      </w:divBdr>
    </w:div>
    <w:div w:id="502667760">
      <w:bodyDiv w:val="1"/>
      <w:marLeft w:val="0"/>
      <w:marRight w:val="0"/>
      <w:marTop w:val="0"/>
      <w:marBottom w:val="0"/>
      <w:divBdr>
        <w:top w:val="none" w:sz="0" w:space="0" w:color="auto"/>
        <w:left w:val="none" w:sz="0" w:space="0" w:color="auto"/>
        <w:bottom w:val="none" w:sz="0" w:space="0" w:color="auto"/>
        <w:right w:val="none" w:sz="0" w:space="0" w:color="auto"/>
      </w:divBdr>
    </w:div>
    <w:div w:id="727530873">
      <w:bodyDiv w:val="1"/>
      <w:marLeft w:val="0"/>
      <w:marRight w:val="0"/>
      <w:marTop w:val="0"/>
      <w:marBottom w:val="0"/>
      <w:divBdr>
        <w:top w:val="none" w:sz="0" w:space="0" w:color="auto"/>
        <w:left w:val="none" w:sz="0" w:space="0" w:color="auto"/>
        <w:bottom w:val="none" w:sz="0" w:space="0" w:color="auto"/>
        <w:right w:val="none" w:sz="0" w:space="0" w:color="auto"/>
      </w:divBdr>
      <w:divsChild>
        <w:div w:id="895705896">
          <w:marLeft w:val="0"/>
          <w:marRight w:val="0"/>
          <w:marTop w:val="0"/>
          <w:marBottom w:val="360"/>
          <w:divBdr>
            <w:top w:val="none" w:sz="0" w:space="0" w:color="auto"/>
            <w:left w:val="none" w:sz="0" w:space="0" w:color="auto"/>
            <w:bottom w:val="none" w:sz="0" w:space="0" w:color="auto"/>
            <w:right w:val="none" w:sz="0" w:space="0" w:color="auto"/>
          </w:divBdr>
        </w:div>
      </w:divsChild>
    </w:div>
    <w:div w:id="771363977">
      <w:bodyDiv w:val="1"/>
      <w:marLeft w:val="0"/>
      <w:marRight w:val="0"/>
      <w:marTop w:val="0"/>
      <w:marBottom w:val="0"/>
      <w:divBdr>
        <w:top w:val="none" w:sz="0" w:space="0" w:color="auto"/>
        <w:left w:val="none" w:sz="0" w:space="0" w:color="auto"/>
        <w:bottom w:val="none" w:sz="0" w:space="0" w:color="auto"/>
        <w:right w:val="none" w:sz="0" w:space="0" w:color="auto"/>
      </w:divBdr>
    </w:div>
    <w:div w:id="932475719">
      <w:bodyDiv w:val="1"/>
      <w:marLeft w:val="0"/>
      <w:marRight w:val="0"/>
      <w:marTop w:val="0"/>
      <w:marBottom w:val="0"/>
      <w:divBdr>
        <w:top w:val="none" w:sz="0" w:space="0" w:color="auto"/>
        <w:left w:val="none" w:sz="0" w:space="0" w:color="auto"/>
        <w:bottom w:val="none" w:sz="0" w:space="0" w:color="auto"/>
        <w:right w:val="none" w:sz="0" w:space="0" w:color="auto"/>
      </w:divBdr>
    </w:div>
    <w:div w:id="1303195899">
      <w:bodyDiv w:val="1"/>
      <w:marLeft w:val="0"/>
      <w:marRight w:val="0"/>
      <w:marTop w:val="0"/>
      <w:marBottom w:val="0"/>
      <w:divBdr>
        <w:top w:val="none" w:sz="0" w:space="0" w:color="auto"/>
        <w:left w:val="none" w:sz="0" w:space="0" w:color="auto"/>
        <w:bottom w:val="none" w:sz="0" w:space="0" w:color="auto"/>
        <w:right w:val="none" w:sz="0" w:space="0" w:color="auto"/>
      </w:divBdr>
    </w:div>
    <w:div w:id="1357923144">
      <w:bodyDiv w:val="1"/>
      <w:marLeft w:val="0"/>
      <w:marRight w:val="0"/>
      <w:marTop w:val="0"/>
      <w:marBottom w:val="0"/>
      <w:divBdr>
        <w:top w:val="none" w:sz="0" w:space="0" w:color="auto"/>
        <w:left w:val="none" w:sz="0" w:space="0" w:color="auto"/>
        <w:bottom w:val="none" w:sz="0" w:space="0" w:color="auto"/>
        <w:right w:val="none" w:sz="0" w:space="0" w:color="auto"/>
      </w:divBdr>
      <w:divsChild>
        <w:div w:id="984050044">
          <w:marLeft w:val="0"/>
          <w:marRight w:val="0"/>
          <w:marTop w:val="0"/>
          <w:marBottom w:val="0"/>
          <w:divBdr>
            <w:top w:val="none" w:sz="0" w:space="0" w:color="auto"/>
            <w:left w:val="none" w:sz="0" w:space="0" w:color="auto"/>
            <w:bottom w:val="none" w:sz="0" w:space="0" w:color="auto"/>
            <w:right w:val="none" w:sz="0" w:space="0" w:color="auto"/>
          </w:divBdr>
        </w:div>
        <w:div w:id="1140654666">
          <w:marLeft w:val="0"/>
          <w:marRight w:val="0"/>
          <w:marTop w:val="0"/>
          <w:marBottom w:val="0"/>
          <w:divBdr>
            <w:top w:val="none" w:sz="0" w:space="0" w:color="auto"/>
            <w:left w:val="none" w:sz="0" w:space="0" w:color="auto"/>
            <w:bottom w:val="none" w:sz="0" w:space="0" w:color="auto"/>
            <w:right w:val="none" w:sz="0" w:space="0" w:color="auto"/>
          </w:divBdr>
          <w:divsChild>
            <w:div w:id="649869945">
              <w:marLeft w:val="0"/>
              <w:marRight w:val="0"/>
              <w:marTop w:val="0"/>
              <w:marBottom w:val="0"/>
              <w:divBdr>
                <w:top w:val="none" w:sz="0" w:space="0" w:color="auto"/>
                <w:left w:val="none" w:sz="0" w:space="0" w:color="auto"/>
                <w:bottom w:val="none" w:sz="0" w:space="0" w:color="auto"/>
                <w:right w:val="none" w:sz="0" w:space="0" w:color="auto"/>
              </w:divBdr>
              <w:divsChild>
                <w:div w:id="465778232">
                  <w:marLeft w:val="0"/>
                  <w:marRight w:val="0"/>
                  <w:marTop w:val="0"/>
                  <w:marBottom w:val="0"/>
                  <w:divBdr>
                    <w:top w:val="none" w:sz="0" w:space="0" w:color="auto"/>
                    <w:left w:val="none" w:sz="0" w:space="0" w:color="auto"/>
                    <w:bottom w:val="none" w:sz="0" w:space="0" w:color="auto"/>
                    <w:right w:val="none" w:sz="0" w:space="0" w:color="auto"/>
                  </w:divBdr>
                  <w:divsChild>
                    <w:div w:id="355740816">
                      <w:marLeft w:val="0"/>
                      <w:marRight w:val="0"/>
                      <w:marTop w:val="0"/>
                      <w:marBottom w:val="0"/>
                      <w:divBdr>
                        <w:top w:val="none" w:sz="0" w:space="0" w:color="auto"/>
                        <w:left w:val="none" w:sz="0" w:space="0" w:color="auto"/>
                        <w:bottom w:val="none" w:sz="0" w:space="0" w:color="auto"/>
                        <w:right w:val="none" w:sz="0" w:space="0" w:color="auto"/>
                      </w:divBdr>
                      <w:divsChild>
                        <w:div w:id="1951429896">
                          <w:marLeft w:val="0"/>
                          <w:marRight w:val="0"/>
                          <w:marTop w:val="0"/>
                          <w:marBottom w:val="900"/>
                          <w:divBdr>
                            <w:top w:val="none" w:sz="0" w:space="0" w:color="auto"/>
                            <w:left w:val="none" w:sz="0" w:space="0" w:color="auto"/>
                            <w:bottom w:val="none" w:sz="0" w:space="0" w:color="auto"/>
                            <w:right w:val="none" w:sz="0" w:space="0" w:color="auto"/>
                          </w:divBdr>
                        </w:div>
                        <w:div w:id="348719232">
                          <w:marLeft w:val="0"/>
                          <w:marRight w:val="0"/>
                          <w:marTop w:val="0"/>
                          <w:marBottom w:val="0"/>
                          <w:divBdr>
                            <w:top w:val="none" w:sz="0" w:space="0" w:color="auto"/>
                            <w:left w:val="none" w:sz="0" w:space="0" w:color="auto"/>
                            <w:bottom w:val="none" w:sz="0" w:space="0" w:color="auto"/>
                            <w:right w:val="none" w:sz="0" w:space="0" w:color="auto"/>
                          </w:divBdr>
                          <w:divsChild>
                            <w:div w:id="19031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752448">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785610577">
      <w:bodyDiv w:val="1"/>
      <w:marLeft w:val="0"/>
      <w:marRight w:val="0"/>
      <w:marTop w:val="0"/>
      <w:marBottom w:val="0"/>
      <w:divBdr>
        <w:top w:val="none" w:sz="0" w:space="0" w:color="auto"/>
        <w:left w:val="none" w:sz="0" w:space="0" w:color="auto"/>
        <w:bottom w:val="none" w:sz="0" w:space="0" w:color="auto"/>
        <w:right w:val="none" w:sz="0" w:space="0" w:color="auto"/>
      </w:divBdr>
    </w:div>
    <w:div w:id="1828742208">
      <w:bodyDiv w:val="1"/>
      <w:marLeft w:val="0"/>
      <w:marRight w:val="0"/>
      <w:marTop w:val="0"/>
      <w:marBottom w:val="0"/>
      <w:divBdr>
        <w:top w:val="none" w:sz="0" w:space="0" w:color="auto"/>
        <w:left w:val="none" w:sz="0" w:space="0" w:color="auto"/>
        <w:bottom w:val="none" w:sz="0" w:space="0" w:color="auto"/>
        <w:right w:val="none" w:sz="0" w:space="0" w:color="auto"/>
      </w:divBdr>
    </w:div>
    <w:div w:id="1903253097">
      <w:bodyDiv w:val="1"/>
      <w:marLeft w:val="0"/>
      <w:marRight w:val="0"/>
      <w:marTop w:val="0"/>
      <w:marBottom w:val="0"/>
      <w:divBdr>
        <w:top w:val="none" w:sz="0" w:space="0" w:color="auto"/>
        <w:left w:val="none" w:sz="0" w:space="0" w:color="auto"/>
        <w:bottom w:val="none" w:sz="0" w:space="0" w:color="auto"/>
        <w:right w:val="none" w:sz="0" w:space="0" w:color="auto"/>
      </w:divBdr>
    </w:div>
    <w:div w:id="1924141675">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1995407152">
      <w:bodyDiv w:val="1"/>
      <w:marLeft w:val="0"/>
      <w:marRight w:val="0"/>
      <w:marTop w:val="0"/>
      <w:marBottom w:val="0"/>
      <w:divBdr>
        <w:top w:val="none" w:sz="0" w:space="0" w:color="auto"/>
        <w:left w:val="none" w:sz="0" w:space="0" w:color="auto"/>
        <w:bottom w:val="none" w:sz="0" w:space="0" w:color="auto"/>
        <w:right w:val="none" w:sz="0" w:space="0" w:color="auto"/>
      </w:divBdr>
    </w:div>
    <w:div w:id="2053338406">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azionenazionalecommercialisti.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6F717-4C1A-4C4E-8659-2ECB2566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494</Words>
  <Characters>2819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7</cp:revision>
  <dcterms:created xsi:type="dcterms:W3CDTF">2022-03-14T17:09:00Z</dcterms:created>
  <dcterms:modified xsi:type="dcterms:W3CDTF">2022-03-17T11:30:00Z</dcterms:modified>
</cp:coreProperties>
</file>