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97D5" w14:textId="1DC4868F" w:rsidR="00607512" w:rsidRPr="00247945" w:rsidRDefault="00607512" w:rsidP="005A6A5D">
      <w:pPr>
        <w:jc w:val="both"/>
        <w:rPr>
          <w:rFonts w:ascii="Arial" w:hAnsi="Arial" w:cs="Arial"/>
          <w:sz w:val="24"/>
          <w:szCs w:val="24"/>
        </w:rPr>
      </w:pPr>
    </w:p>
    <w:p w14:paraId="581509F9" w14:textId="77777777" w:rsidR="00E33797" w:rsidRPr="00247945" w:rsidRDefault="00E33797" w:rsidP="00E33797">
      <w:pPr>
        <w:pStyle w:val="xmsonormal"/>
        <w:shd w:val="clear" w:color="auto" w:fill="FFFFFF"/>
        <w:jc w:val="center"/>
        <w:rPr>
          <w:rStyle w:val="contentpasted0"/>
          <w:rFonts w:ascii="Arial" w:hAnsi="Arial" w:cs="Arial"/>
          <w:b/>
          <w:bCs/>
          <w:color w:val="000000"/>
          <w:sz w:val="24"/>
          <w:szCs w:val="24"/>
          <w:u w:val="single"/>
          <w:bdr w:val="none" w:sz="0" w:space="0" w:color="auto" w:frame="1"/>
          <w:shd w:val="clear" w:color="auto" w:fill="FFFFFF"/>
        </w:rPr>
      </w:pPr>
    </w:p>
    <w:p w14:paraId="0D49DBF0" w14:textId="77777777" w:rsidR="007849BE" w:rsidRPr="007849BE" w:rsidRDefault="007849BE" w:rsidP="007849BE">
      <w:pPr>
        <w:shd w:val="clear" w:color="auto" w:fill="FFFFFF"/>
        <w:jc w:val="center"/>
        <w:rPr>
          <w:rFonts w:eastAsia="Calibri"/>
          <w:color w:val="000000"/>
          <w:sz w:val="24"/>
          <w:szCs w:val="24"/>
          <w:shd w:val="clear" w:color="auto" w:fill="FFFFFF"/>
        </w:rPr>
      </w:pPr>
      <w:r w:rsidRPr="007849BE">
        <w:rPr>
          <w:rFonts w:ascii="Arial" w:eastAsia="Calibri" w:hAnsi="Arial" w:cs="Arial"/>
          <w:b/>
          <w:bCs/>
          <w:color w:val="000000"/>
          <w:sz w:val="24"/>
          <w:szCs w:val="24"/>
          <w:u w:val="single"/>
          <w:bdr w:val="none" w:sz="0" w:space="0" w:color="auto" w:frame="1"/>
          <w:shd w:val="clear" w:color="auto" w:fill="FFFFFF"/>
        </w:rPr>
        <w:t>Comunicato stampa</w:t>
      </w:r>
      <w:r w:rsidRPr="007849BE">
        <w:rPr>
          <w:rFonts w:ascii="Times New Roman" w:eastAsia="Calibri" w:hAnsi="Times New Roman" w:cs="Times New Roman"/>
          <w:color w:val="000000"/>
          <w:sz w:val="24"/>
          <w:szCs w:val="24"/>
          <w:shd w:val="clear" w:color="auto" w:fill="FFFFFF"/>
        </w:rPr>
        <w:t>  </w:t>
      </w:r>
    </w:p>
    <w:p w14:paraId="658738E9" w14:textId="77777777" w:rsidR="007849BE" w:rsidRPr="007849BE" w:rsidRDefault="007849BE" w:rsidP="007849BE">
      <w:pPr>
        <w:shd w:val="clear" w:color="auto" w:fill="FFFFFF"/>
        <w:jc w:val="center"/>
        <w:rPr>
          <w:rFonts w:eastAsia="Calibri"/>
          <w:color w:val="000000"/>
          <w:sz w:val="24"/>
          <w:szCs w:val="24"/>
          <w:shd w:val="clear" w:color="auto" w:fill="FFFFFF"/>
        </w:rPr>
      </w:pPr>
      <w:r w:rsidRPr="007849BE">
        <w:rPr>
          <w:rFonts w:ascii="Times New Roman" w:eastAsia="Calibri" w:hAnsi="Times New Roman" w:cs="Times New Roman"/>
          <w:color w:val="000000"/>
          <w:sz w:val="24"/>
          <w:szCs w:val="24"/>
          <w:shd w:val="clear" w:color="auto" w:fill="FFFFFF"/>
        </w:rPr>
        <w:t> </w:t>
      </w:r>
    </w:p>
    <w:p w14:paraId="0F9F41BA" w14:textId="77777777" w:rsidR="007849BE" w:rsidRPr="007849BE" w:rsidRDefault="007849BE" w:rsidP="007849BE">
      <w:pPr>
        <w:shd w:val="clear" w:color="auto" w:fill="FFFFFF"/>
        <w:jc w:val="center"/>
        <w:rPr>
          <w:rFonts w:eastAsia="Calibri"/>
          <w:color w:val="000000"/>
          <w:sz w:val="24"/>
          <w:szCs w:val="24"/>
          <w:shd w:val="clear" w:color="auto" w:fill="FFFFFF"/>
        </w:rPr>
      </w:pPr>
      <w:r w:rsidRPr="007849BE">
        <w:rPr>
          <w:rFonts w:ascii="Arial" w:eastAsia="Calibri" w:hAnsi="Arial" w:cs="Arial"/>
          <w:color w:val="000000"/>
          <w:sz w:val="24"/>
          <w:szCs w:val="24"/>
          <w:shd w:val="clear" w:color="auto" w:fill="FFFFFF"/>
        </w:rPr>
        <w:t> </w:t>
      </w:r>
    </w:p>
    <w:p w14:paraId="6BA93271" w14:textId="77777777" w:rsidR="007849BE" w:rsidRPr="007849BE" w:rsidRDefault="007849BE" w:rsidP="007849BE">
      <w:pPr>
        <w:shd w:val="clear" w:color="auto" w:fill="FFFFFF"/>
        <w:jc w:val="center"/>
        <w:rPr>
          <w:rFonts w:eastAsia="Calibri"/>
          <w:color w:val="000000"/>
          <w:sz w:val="24"/>
          <w:szCs w:val="24"/>
          <w:shd w:val="clear" w:color="auto" w:fill="FFFFFF"/>
        </w:rPr>
      </w:pPr>
      <w:r w:rsidRPr="007849BE">
        <w:rPr>
          <w:rFonts w:ascii="Arial" w:eastAsia="Calibri" w:hAnsi="Arial" w:cs="Arial"/>
          <w:b/>
          <w:bCs/>
          <w:color w:val="000000"/>
          <w:sz w:val="24"/>
          <w:szCs w:val="24"/>
          <w:shd w:val="clear" w:color="auto" w:fill="FFFFFF"/>
        </w:rPr>
        <w:t>BONUS EDILIZI: COMMERCIALISTI, SUPERARE STALLO PER EVITARE BOOMERANG ECONOMICO  </w:t>
      </w:r>
    </w:p>
    <w:p w14:paraId="550109E4" w14:textId="77777777" w:rsidR="007849BE" w:rsidRPr="007849BE" w:rsidRDefault="007849BE" w:rsidP="007849BE">
      <w:pPr>
        <w:shd w:val="clear" w:color="auto" w:fill="FFFFFF"/>
        <w:jc w:val="center"/>
        <w:rPr>
          <w:rFonts w:eastAsia="Calibri"/>
          <w:color w:val="000000"/>
          <w:sz w:val="24"/>
          <w:szCs w:val="24"/>
          <w:shd w:val="clear" w:color="auto" w:fill="FFFFFF"/>
        </w:rPr>
      </w:pPr>
      <w:r w:rsidRPr="007849BE">
        <w:rPr>
          <w:rFonts w:ascii="Arial" w:eastAsia="Calibri" w:hAnsi="Arial" w:cs="Arial"/>
          <w:b/>
          <w:bCs/>
          <w:color w:val="000000"/>
          <w:sz w:val="24"/>
          <w:szCs w:val="24"/>
          <w:shd w:val="clear" w:color="auto" w:fill="FFFFFF"/>
        </w:rPr>
        <w:t> </w:t>
      </w:r>
    </w:p>
    <w:p w14:paraId="23E55EF3" w14:textId="77777777" w:rsidR="007849BE" w:rsidRPr="007849BE" w:rsidRDefault="007849BE" w:rsidP="007849BE">
      <w:pPr>
        <w:shd w:val="clear" w:color="auto" w:fill="FFFFFF"/>
        <w:jc w:val="center"/>
        <w:rPr>
          <w:rFonts w:eastAsia="Calibri"/>
          <w:color w:val="000000"/>
          <w:sz w:val="24"/>
          <w:szCs w:val="24"/>
          <w:shd w:val="clear" w:color="auto" w:fill="FFFFFF"/>
        </w:rPr>
      </w:pPr>
      <w:r w:rsidRPr="007849BE">
        <w:rPr>
          <w:rFonts w:ascii="Arial" w:eastAsia="Calibri" w:hAnsi="Arial" w:cs="Arial"/>
          <w:b/>
          <w:bCs/>
          <w:color w:val="000000"/>
          <w:sz w:val="24"/>
          <w:szCs w:val="24"/>
          <w:shd w:val="clear" w:color="auto" w:fill="FFFFFF"/>
        </w:rPr>
        <w:t xml:space="preserve">Le proposte del Consiglio nazionale della categoria in audizione al Senato. Regalbuto: “Sbloccare l’ingente </w:t>
      </w:r>
      <w:r w:rsidRPr="007849BE">
        <w:rPr>
          <w:rFonts w:ascii="Arial" w:eastAsia="Calibri" w:hAnsi="Arial" w:cs="Arial"/>
          <w:b/>
          <w:bCs/>
          <w:i/>
          <w:iCs/>
          <w:color w:val="000000"/>
          <w:sz w:val="24"/>
          <w:szCs w:val="24"/>
          <w:shd w:val="clear" w:color="auto" w:fill="FFFFFF"/>
        </w:rPr>
        <w:t>stock</w:t>
      </w:r>
      <w:r w:rsidRPr="007849BE">
        <w:rPr>
          <w:rFonts w:ascii="Arial" w:eastAsia="Calibri" w:hAnsi="Arial" w:cs="Arial"/>
          <w:b/>
          <w:bCs/>
          <w:color w:val="000000"/>
          <w:sz w:val="24"/>
          <w:szCs w:val="24"/>
          <w:shd w:val="clear" w:color="auto" w:fill="FFFFFF"/>
        </w:rPr>
        <w:t xml:space="preserve"> di crediti rimasti incagliati nei cassetti fiscali di imprese e privati cittadini” </w:t>
      </w:r>
    </w:p>
    <w:p w14:paraId="31785211" w14:textId="77777777" w:rsidR="007849BE" w:rsidRPr="007849BE" w:rsidRDefault="007849BE" w:rsidP="007849BE">
      <w:pPr>
        <w:jc w:val="both"/>
        <w:rPr>
          <w:rFonts w:eastAsia="Calibri"/>
          <w:color w:val="000000"/>
          <w:sz w:val="24"/>
          <w:szCs w:val="24"/>
          <w:shd w:val="clear" w:color="auto" w:fill="FFFFFF"/>
        </w:rPr>
      </w:pPr>
      <w:r w:rsidRPr="007849BE">
        <w:rPr>
          <w:rFonts w:ascii="Arial" w:eastAsia="Calibri" w:hAnsi="Arial" w:cs="Arial"/>
          <w:b/>
          <w:bCs/>
          <w:color w:val="000000"/>
          <w:sz w:val="24"/>
          <w:szCs w:val="24"/>
          <w:shd w:val="clear" w:color="auto" w:fill="FFFFFF"/>
        </w:rPr>
        <w:t> </w:t>
      </w:r>
      <w:r w:rsidRPr="007849BE">
        <w:rPr>
          <w:rFonts w:ascii="Arial" w:eastAsia="Calibri" w:hAnsi="Arial" w:cs="Arial"/>
          <w:color w:val="000000"/>
          <w:sz w:val="24"/>
          <w:szCs w:val="24"/>
          <w:shd w:val="clear" w:color="auto" w:fill="FFFFFF"/>
        </w:rPr>
        <w:t>  </w:t>
      </w:r>
    </w:p>
    <w:p w14:paraId="6FF11C15" w14:textId="77777777" w:rsidR="007849BE" w:rsidRPr="007849BE" w:rsidRDefault="007849BE" w:rsidP="007849BE">
      <w:pPr>
        <w:jc w:val="both"/>
        <w:rPr>
          <w:rFonts w:eastAsia="Calibri"/>
          <w:color w:val="000000"/>
          <w:sz w:val="24"/>
          <w:szCs w:val="24"/>
          <w:shd w:val="clear" w:color="auto" w:fill="FFFFFF"/>
        </w:rPr>
      </w:pPr>
      <w:r w:rsidRPr="007849BE">
        <w:rPr>
          <w:rFonts w:ascii="Arial" w:eastAsia="Calibri" w:hAnsi="Arial" w:cs="Arial"/>
          <w:i/>
          <w:iCs/>
          <w:color w:val="000000"/>
          <w:sz w:val="24"/>
          <w:szCs w:val="24"/>
          <w:shd w:val="clear" w:color="auto" w:fill="FFFFFF"/>
        </w:rPr>
        <w:t>Roma, 17 gennaio 2023 -</w:t>
      </w:r>
      <w:r w:rsidRPr="007849BE">
        <w:rPr>
          <w:rFonts w:ascii="Arial" w:eastAsia="Calibri" w:hAnsi="Arial" w:cs="Arial"/>
          <w:color w:val="000000"/>
          <w:sz w:val="24"/>
          <w:szCs w:val="24"/>
          <w:shd w:val="clear" w:color="auto" w:fill="FFFFFF"/>
        </w:rPr>
        <w:t xml:space="preserve"> Prevedere che i crediti d'imposta derivanti dagli interventi ammessi al superbonus possano essere riportati a nuovo, ai fini del loro utilizzo in compensazione, sino </w:t>
      </w:r>
      <w:r w:rsidRPr="007849BE">
        <w:rPr>
          <w:rFonts w:ascii="Arial" w:eastAsia="Calibri" w:hAnsi="Arial" w:cs="Arial"/>
          <w:b/>
          <w:bCs/>
          <w:color w:val="000000"/>
          <w:sz w:val="24"/>
          <w:szCs w:val="24"/>
          <w:shd w:val="clear" w:color="auto" w:fill="FFFFFF"/>
        </w:rPr>
        <w:t>al sesto periodo di imposta successivo a quello di competenza</w:t>
      </w:r>
      <w:r w:rsidRPr="007849BE">
        <w:rPr>
          <w:rFonts w:ascii="Arial" w:eastAsia="Calibri" w:hAnsi="Arial" w:cs="Arial"/>
          <w:color w:val="000000"/>
          <w:sz w:val="24"/>
          <w:szCs w:val="24"/>
          <w:shd w:val="clear" w:color="auto" w:fill="FFFFFF"/>
        </w:rPr>
        <w:t xml:space="preserve">. È una delle proposte avanzate dal Consiglio nazionale dei </w:t>
      </w:r>
      <w:r w:rsidRPr="007849BE">
        <w:rPr>
          <w:rFonts w:ascii="Arial" w:eastAsia="Calibri" w:hAnsi="Arial" w:cs="Arial"/>
          <w:b/>
          <w:bCs/>
          <w:color w:val="000000"/>
          <w:sz w:val="24"/>
          <w:szCs w:val="24"/>
          <w:shd w:val="clear" w:color="auto" w:fill="FFFFFF"/>
        </w:rPr>
        <w:t>commercialisti</w:t>
      </w:r>
      <w:r w:rsidRPr="007849BE">
        <w:rPr>
          <w:rFonts w:ascii="Arial" w:eastAsia="Calibri" w:hAnsi="Arial" w:cs="Arial"/>
          <w:color w:val="000000"/>
          <w:sz w:val="24"/>
          <w:szCs w:val="24"/>
          <w:shd w:val="clear" w:color="auto" w:fill="FFFFFF"/>
        </w:rPr>
        <w:t xml:space="preserve"> nel corso di una audizione tenutasi oggi presso </w:t>
      </w:r>
      <w:r w:rsidRPr="007849BE">
        <w:rPr>
          <w:rFonts w:ascii="Arial" w:eastAsia="Calibri" w:hAnsi="Arial" w:cs="Arial"/>
          <w:bCs/>
          <w:color w:val="000000"/>
          <w:sz w:val="24"/>
          <w:szCs w:val="24"/>
          <w:shd w:val="clear" w:color="auto" w:fill="FFFFFF"/>
        </w:rPr>
        <w:t xml:space="preserve">la Commissione finanze e tesoro del Senato in merito all’Indagine conoscitiva sugli strumenti di </w:t>
      </w:r>
      <w:r w:rsidRPr="007849BE">
        <w:rPr>
          <w:rFonts w:ascii="Arial" w:eastAsia="Calibri" w:hAnsi="Arial" w:cs="Arial"/>
          <w:b/>
          <w:bCs/>
          <w:color w:val="000000"/>
          <w:sz w:val="24"/>
          <w:szCs w:val="24"/>
          <w:shd w:val="clear" w:color="auto" w:fill="FFFFFF"/>
        </w:rPr>
        <w:t>incentivazione fiscale</w:t>
      </w:r>
      <w:r w:rsidRPr="007849BE">
        <w:rPr>
          <w:rFonts w:ascii="Arial" w:eastAsia="Calibri" w:hAnsi="Arial" w:cs="Arial"/>
          <w:bCs/>
          <w:color w:val="000000"/>
          <w:sz w:val="24"/>
          <w:szCs w:val="24"/>
          <w:shd w:val="clear" w:color="auto" w:fill="FFFFFF"/>
        </w:rPr>
        <w:t xml:space="preserve"> con particolare riferimento ai </w:t>
      </w:r>
      <w:r w:rsidRPr="007849BE">
        <w:rPr>
          <w:rFonts w:ascii="Arial" w:eastAsia="Calibri" w:hAnsi="Arial" w:cs="Arial"/>
          <w:b/>
          <w:bCs/>
          <w:color w:val="000000"/>
          <w:sz w:val="24"/>
          <w:szCs w:val="24"/>
          <w:shd w:val="clear" w:color="auto" w:fill="FFFFFF"/>
        </w:rPr>
        <w:t>crediti di imposta</w:t>
      </w:r>
      <w:r w:rsidRPr="007849BE">
        <w:rPr>
          <w:rFonts w:ascii="Arial" w:eastAsia="Calibri" w:hAnsi="Arial" w:cs="Arial"/>
          <w:bCs/>
          <w:color w:val="000000"/>
          <w:sz w:val="24"/>
          <w:szCs w:val="24"/>
          <w:shd w:val="clear" w:color="auto" w:fill="FFFFFF"/>
        </w:rPr>
        <w:t xml:space="preserve">. Secondo i commercialisti, la cui delegazione era composta dal tesoriere del Consiglio nazionale, </w:t>
      </w:r>
      <w:r w:rsidRPr="007849BE">
        <w:rPr>
          <w:rFonts w:ascii="Arial" w:eastAsia="Calibri" w:hAnsi="Arial" w:cs="Arial"/>
          <w:b/>
          <w:bCs/>
          <w:color w:val="000000"/>
          <w:sz w:val="24"/>
          <w:szCs w:val="24"/>
          <w:shd w:val="clear" w:color="auto" w:fill="FFFFFF"/>
        </w:rPr>
        <w:t>Salvatore Regalbuto</w:t>
      </w:r>
      <w:r w:rsidRPr="007849BE">
        <w:rPr>
          <w:rFonts w:ascii="Arial" w:eastAsia="Calibri" w:hAnsi="Arial" w:cs="Arial"/>
          <w:bCs/>
          <w:color w:val="000000"/>
          <w:sz w:val="24"/>
          <w:szCs w:val="24"/>
          <w:shd w:val="clear" w:color="auto" w:fill="FFFFFF"/>
        </w:rPr>
        <w:t xml:space="preserve"> e dal coordinatore dell’area fiscalità della Fondazione nazionale della categoria, </w:t>
      </w:r>
      <w:r w:rsidRPr="007849BE">
        <w:rPr>
          <w:rFonts w:ascii="Arial" w:eastAsia="Calibri" w:hAnsi="Arial" w:cs="Arial"/>
          <w:b/>
          <w:bCs/>
          <w:color w:val="000000"/>
          <w:sz w:val="24"/>
          <w:szCs w:val="24"/>
          <w:shd w:val="clear" w:color="auto" w:fill="FFFFFF"/>
        </w:rPr>
        <w:t>Pasquale Saggese</w:t>
      </w:r>
      <w:r w:rsidRPr="007849BE">
        <w:rPr>
          <w:rFonts w:ascii="Arial" w:eastAsia="Calibri" w:hAnsi="Arial" w:cs="Arial"/>
          <w:bCs/>
          <w:color w:val="000000"/>
          <w:sz w:val="24"/>
          <w:szCs w:val="24"/>
          <w:shd w:val="clear" w:color="auto" w:fill="FFFFFF"/>
        </w:rPr>
        <w:t>, “q</w:t>
      </w:r>
      <w:r w:rsidRPr="007849BE">
        <w:rPr>
          <w:rFonts w:ascii="Arial" w:eastAsia="Calibri" w:hAnsi="Arial" w:cs="Arial"/>
          <w:color w:val="000000"/>
          <w:sz w:val="24"/>
          <w:szCs w:val="24"/>
          <w:shd w:val="clear" w:color="auto" w:fill="FFFFFF"/>
        </w:rPr>
        <w:t xml:space="preserve">uesta soluzione operativa ha il pregio, rispetto all’attuale situazione normativa, di consentire di non modificare le condizioni di sconto applicate dalle banche ai cedenti in sede di acquisto, ma al tempo stesso di incidere positivamente sulla </w:t>
      </w:r>
      <w:r w:rsidRPr="007849BE">
        <w:rPr>
          <w:rFonts w:ascii="Arial" w:eastAsia="Calibri" w:hAnsi="Arial" w:cs="Arial"/>
          <w:b/>
          <w:bCs/>
          <w:color w:val="000000"/>
          <w:sz w:val="24"/>
          <w:szCs w:val="24"/>
          <w:shd w:val="clear" w:color="auto" w:fill="FFFFFF"/>
        </w:rPr>
        <w:t>capacità di acquisto</w:t>
      </w:r>
      <w:r w:rsidRPr="007849BE">
        <w:rPr>
          <w:rFonts w:ascii="Arial" w:eastAsia="Calibri" w:hAnsi="Arial" w:cs="Arial"/>
          <w:color w:val="000000"/>
          <w:sz w:val="24"/>
          <w:szCs w:val="24"/>
          <w:shd w:val="clear" w:color="auto" w:fill="FFFFFF"/>
        </w:rPr>
        <w:t xml:space="preserve"> dei crediti da parte delle banche, che possono in tal modo </w:t>
      </w:r>
      <w:r w:rsidRPr="007849BE">
        <w:rPr>
          <w:rFonts w:ascii="Arial" w:eastAsia="Calibri" w:hAnsi="Arial" w:cs="Arial"/>
          <w:b/>
          <w:bCs/>
          <w:color w:val="000000"/>
          <w:sz w:val="24"/>
          <w:szCs w:val="24"/>
          <w:shd w:val="clear" w:color="auto" w:fill="FFFFFF"/>
        </w:rPr>
        <w:t xml:space="preserve">ampliare le stime dei propri </w:t>
      </w:r>
      <w:r w:rsidRPr="007849BE">
        <w:rPr>
          <w:rFonts w:ascii="Arial" w:eastAsia="Calibri" w:hAnsi="Arial" w:cs="Arial"/>
          <w:b/>
          <w:bCs/>
          <w:i/>
          <w:iCs/>
          <w:color w:val="000000"/>
          <w:sz w:val="24"/>
          <w:szCs w:val="24"/>
          <w:shd w:val="clear" w:color="auto" w:fill="FFFFFF"/>
        </w:rPr>
        <w:t>plafond</w:t>
      </w:r>
      <w:r w:rsidRPr="007849BE">
        <w:rPr>
          <w:rFonts w:ascii="Arial" w:eastAsia="Calibri" w:hAnsi="Arial" w:cs="Arial"/>
          <w:b/>
          <w:bCs/>
          <w:color w:val="000000"/>
          <w:sz w:val="24"/>
          <w:szCs w:val="24"/>
          <w:shd w:val="clear" w:color="auto" w:fill="FFFFFF"/>
        </w:rPr>
        <w:t xml:space="preserve"> di acquisto</w:t>
      </w:r>
      <w:r w:rsidRPr="007849BE">
        <w:rPr>
          <w:rFonts w:ascii="Arial" w:eastAsia="Calibri" w:hAnsi="Arial" w:cs="Arial"/>
          <w:color w:val="000000"/>
          <w:sz w:val="24"/>
          <w:szCs w:val="24"/>
          <w:shd w:val="clear" w:color="auto" w:fill="FFFFFF"/>
        </w:rPr>
        <w:t xml:space="preserve">, rispetto a quelle attualmente formulate con un approccio ultra-prudenziale. Con la riportabilità sino al massimo al sesto anno successivo, viene nella sostanza confermato l’orizzonte temporale di </w:t>
      </w:r>
      <w:r w:rsidRPr="007849BE">
        <w:rPr>
          <w:rFonts w:ascii="Arial" w:eastAsia="Calibri" w:hAnsi="Arial" w:cs="Arial"/>
          <w:b/>
          <w:bCs/>
          <w:color w:val="000000"/>
          <w:sz w:val="24"/>
          <w:szCs w:val="24"/>
          <w:shd w:val="clear" w:color="auto" w:fill="FFFFFF"/>
        </w:rPr>
        <w:t>“diluizione” da 4 a 10 anni</w:t>
      </w:r>
      <w:r w:rsidRPr="007849BE">
        <w:rPr>
          <w:rFonts w:ascii="Arial" w:eastAsia="Calibri" w:hAnsi="Arial" w:cs="Arial"/>
          <w:color w:val="000000"/>
          <w:sz w:val="24"/>
          <w:szCs w:val="24"/>
          <w:shd w:val="clear" w:color="auto" w:fill="FFFFFF"/>
        </w:rPr>
        <w:t xml:space="preserve"> prevista dall’attuale formulazione normativa” </w:t>
      </w:r>
    </w:p>
    <w:p w14:paraId="0FCF3D87" w14:textId="77777777" w:rsidR="007849BE" w:rsidRPr="007849BE" w:rsidRDefault="007849BE" w:rsidP="007849BE">
      <w:pPr>
        <w:jc w:val="both"/>
        <w:rPr>
          <w:rFonts w:eastAsia="Calibri"/>
          <w:color w:val="000000"/>
          <w:sz w:val="24"/>
          <w:szCs w:val="24"/>
          <w:shd w:val="clear" w:color="auto" w:fill="FFFFFF"/>
        </w:rPr>
      </w:pPr>
      <w:r w:rsidRPr="007849BE">
        <w:rPr>
          <w:rFonts w:ascii="Arial" w:eastAsia="Calibri" w:hAnsi="Arial" w:cs="Arial"/>
          <w:color w:val="000000"/>
          <w:sz w:val="24"/>
          <w:szCs w:val="24"/>
          <w:shd w:val="clear" w:color="auto" w:fill="FFFFFF"/>
        </w:rPr>
        <w:t> </w:t>
      </w:r>
    </w:p>
    <w:p w14:paraId="1C782D1A" w14:textId="57A2F954" w:rsidR="007849BE" w:rsidRPr="007849BE" w:rsidRDefault="007849BE" w:rsidP="007849BE">
      <w:pPr>
        <w:jc w:val="both"/>
        <w:rPr>
          <w:rFonts w:eastAsia="Calibri"/>
          <w:color w:val="000000"/>
          <w:sz w:val="24"/>
          <w:szCs w:val="24"/>
          <w:shd w:val="clear" w:color="auto" w:fill="FFFFFF"/>
        </w:rPr>
      </w:pPr>
      <w:r w:rsidRPr="007849BE">
        <w:rPr>
          <w:rFonts w:ascii="Arial" w:eastAsia="Calibri" w:hAnsi="Arial" w:cs="Arial"/>
          <w:color w:val="000000"/>
          <w:sz w:val="24"/>
          <w:szCs w:val="24"/>
          <w:shd w:val="clear" w:color="auto" w:fill="FFFFFF"/>
        </w:rPr>
        <w:t xml:space="preserve">Al fine di consentire lo </w:t>
      </w:r>
      <w:r w:rsidRPr="007849BE">
        <w:rPr>
          <w:rFonts w:ascii="Arial" w:eastAsia="Calibri" w:hAnsi="Arial" w:cs="Arial"/>
          <w:b/>
          <w:bCs/>
          <w:color w:val="000000"/>
          <w:sz w:val="24"/>
          <w:szCs w:val="24"/>
          <w:shd w:val="clear" w:color="auto" w:fill="FFFFFF"/>
        </w:rPr>
        <w:t xml:space="preserve">sblocco dell’ingente </w:t>
      </w:r>
      <w:r w:rsidRPr="007849BE">
        <w:rPr>
          <w:rFonts w:ascii="Arial" w:eastAsia="Calibri" w:hAnsi="Arial" w:cs="Arial"/>
          <w:b/>
          <w:bCs/>
          <w:i/>
          <w:iCs/>
          <w:color w:val="000000"/>
          <w:sz w:val="24"/>
          <w:szCs w:val="24"/>
          <w:shd w:val="clear" w:color="auto" w:fill="FFFFFF"/>
        </w:rPr>
        <w:t>stock</w:t>
      </w:r>
      <w:r w:rsidRPr="007849BE">
        <w:rPr>
          <w:rFonts w:ascii="Arial" w:eastAsia="Calibri" w:hAnsi="Arial" w:cs="Arial"/>
          <w:b/>
          <w:bCs/>
          <w:color w:val="000000"/>
          <w:sz w:val="24"/>
          <w:szCs w:val="24"/>
          <w:shd w:val="clear" w:color="auto" w:fill="FFFFFF"/>
        </w:rPr>
        <w:t xml:space="preserve"> di crediti rimasti incagliati nei cassetti fiscali</w:t>
      </w:r>
      <w:r w:rsidRPr="007849BE">
        <w:rPr>
          <w:rFonts w:ascii="Arial" w:eastAsia="Calibri" w:hAnsi="Arial" w:cs="Arial"/>
          <w:color w:val="000000"/>
          <w:sz w:val="24"/>
          <w:szCs w:val="24"/>
          <w:shd w:val="clear" w:color="auto" w:fill="FFFFFF"/>
        </w:rPr>
        <w:t xml:space="preserve"> di imprese e privati cittadini, i commercialisti hanno proposto anche che “almeno per i crediti d'imposta relativi alle comunicazioni di cessione o di sconto in fattura relative ad interventi eseguiti fino al 31 dicembre 2022, sia previsto un </w:t>
      </w:r>
      <w:r w:rsidRPr="007849BE">
        <w:rPr>
          <w:rFonts w:ascii="Arial" w:eastAsia="Calibri" w:hAnsi="Arial" w:cs="Arial"/>
          <w:b/>
          <w:bCs/>
          <w:color w:val="000000"/>
          <w:sz w:val="24"/>
          <w:szCs w:val="24"/>
          <w:shd w:val="clear" w:color="auto" w:fill="FFFFFF"/>
        </w:rPr>
        <w:t>meccanismo transitorio e straordinario</w:t>
      </w:r>
      <w:r w:rsidRPr="007849BE">
        <w:rPr>
          <w:rFonts w:ascii="Arial" w:eastAsia="Calibri" w:hAnsi="Arial" w:cs="Arial"/>
          <w:color w:val="000000"/>
          <w:sz w:val="24"/>
          <w:szCs w:val="24"/>
          <w:shd w:val="clear" w:color="auto" w:fill="FFFFFF"/>
        </w:rPr>
        <w:t xml:space="preserve"> che consenta agli operatori finanziari (banche, assicurazioni, ecc.) di </w:t>
      </w:r>
      <w:r w:rsidRPr="007849BE">
        <w:rPr>
          <w:rFonts w:ascii="Arial" w:eastAsia="Calibri" w:hAnsi="Arial" w:cs="Arial"/>
          <w:b/>
          <w:bCs/>
          <w:color w:val="000000"/>
          <w:sz w:val="24"/>
          <w:szCs w:val="24"/>
          <w:shd w:val="clear" w:color="auto" w:fill="FFFFFF"/>
        </w:rPr>
        <w:t>ampliare</w:t>
      </w:r>
      <w:r w:rsidRPr="007849BE">
        <w:rPr>
          <w:rFonts w:ascii="Arial" w:eastAsia="Calibri" w:hAnsi="Arial" w:cs="Arial"/>
          <w:color w:val="000000"/>
          <w:sz w:val="24"/>
          <w:szCs w:val="24"/>
          <w:shd w:val="clear" w:color="auto" w:fill="FFFFFF"/>
        </w:rPr>
        <w:t xml:space="preserve"> la capacità di acquisizione di crediti mediante la </w:t>
      </w:r>
      <w:r w:rsidRPr="007849BE">
        <w:rPr>
          <w:rFonts w:ascii="Arial" w:eastAsia="Calibri" w:hAnsi="Arial" w:cs="Arial"/>
          <w:b/>
          <w:bCs/>
          <w:color w:val="000000"/>
          <w:sz w:val="24"/>
          <w:szCs w:val="24"/>
          <w:shd w:val="clear" w:color="auto" w:fill="FFFFFF"/>
        </w:rPr>
        <w:t>compensazione</w:t>
      </w:r>
      <w:r w:rsidRPr="007849BE">
        <w:rPr>
          <w:rFonts w:ascii="Arial" w:eastAsia="Calibri" w:hAnsi="Arial" w:cs="Arial"/>
          <w:color w:val="000000"/>
          <w:sz w:val="24"/>
          <w:szCs w:val="24"/>
          <w:shd w:val="clear" w:color="auto" w:fill="FFFFFF"/>
        </w:rPr>
        <w:t xml:space="preserve"> con le imposte che la generalità dei loro clienti versano per il loro tramite, per una quota ritenuta ragionevole e sostenibile”. Una proposta, ha sottolineato Regalbuto, “peraltro già condivisa dalle principali associazioni delle banche e dei costruttori edili”. Regalbuto ha proposto poi di </w:t>
      </w:r>
      <w:r w:rsidRPr="007849BE">
        <w:rPr>
          <w:rFonts w:ascii="Arial" w:eastAsia="Calibri" w:hAnsi="Arial" w:cs="Arial"/>
          <w:b/>
          <w:bCs/>
          <w:color w:val="000000"/>
          <w:sz w:val="24"/>
          <w:szCs w:val="24"/>
          <w:shd w:val="clear" w:color="auto" w:fill="FFFFFF"/>
        </w:rPr>
        <w:t xml:space="preserve">eliminare il limite al numero massimo di cessioni </w:t>
      </w:r>
      <w:r w:rsidRPr="007849BE">
        <w:rPr>
          <w:rFonts w:ascii="Arial" w:eastAsia="Calibri" w:hAnsi="Arial" w:cs="Arial"/>
          <w:color w:val="000000"/>
          <w:sz w:val="24"/>
          <w:szCs w:val="24"/>
          <w:shd w:val="clear" w:color="auto" w:fill="FFFFFF"/>
        </w:rPr>
        <w:t xml:space="preserve">che le banche e gli altri operatori qualificati possono effettuate. “Il sistema bancario – ha spiegato </w:t>
      </w:r>
      <w:r w:rsidR="00247945">
        <w:rPr>
          <w:rFonts w:ascii="Arial" w:eastAsia="Calibri" w:hAnsi="Arial" w:cs="Arial"/>
          <w:color w:val="000000"/>
          <w:sz w:val="24"/>
          <w:szCs w:val="24"/>
          <w:shd w:val="clear" w:color="auto" w:fill="FFFFFF"/>
        </w:rPr>
        <w:t>–</w:t>
      </w:r>
      <w:r w:rsidRPr="007849BE">
        <w:rPr>
          <w:rFonts w:ascii="Arial" w:eastAsia="Calibri" w:hAnsi="Arial" w:cs="Arial"/>
          <w:color w:val="000000"/>
          <w:sz w:val="24"/>
          <w:szCs w:val="24"/>
          <w:shd w:val="clear" w:color="auto" w:fill="FFFFFF"/>
        </w:rPr>
        <w:t xml:space="preserve"> offre </w:t>
      </w:r>
      <w:r w:rsidRPr="007849BE">
        <w:rPr>
          <w:rFonts w:ascii="Arial" w:eastAsia="Calibri" w:hAnsi="Arial" w:cs="Arial"/>
          <w:b/>
          <w:bCs/>
          <w:color w:val="000000"/>
          <w:sz w:val="24"/>
          <w:szCs w:val="24"/>
          <w:shd w:val="clear" w:color="auto" w:fill="FFFFFF"/>
        </w:rPr>
        <w:t>ampie garanzie</w:t>
      </w:r>
      <w:r w:rsidRPr="007849BE">
        <w:rPr>
          <w:rFonts w:ascii="Arial" w:eastAsia="Calibri" w:hAnsi="Arial" w:cs="Arial"/>
          <w:color w:val="000000"/>
          <w:sz w:val="24"/>
          <w:szCs w:val="24"/>
          <w:shd w:val="clear" w:color="auto" w:fill="FFFFFF"/>
        </w:rPr>
        <w:t xml:space="preserve"> contro il rischio di </w:t>
      </w:r>
      <w:r w:rsidRPr="007849BE">
        <w:rPr>
          <w:rFonts w:ascii="Arial" w:eastAsia="Calibri" w:hAnsi="Arial" w:cs="Arial"/>
          <w:b/>
          <w:bCs/>
          <w:color w:val="000000"/>
          <w:sz w:val="24"/>
          <w:szCs w:val="24"/>
          <w:shd w:val="clear" w:color="auto" w:fill="FFFFFF"/>
        </w:rPr>
        <w:t>frodi</w:t>
      </w:r>
      <w:r w:rsidRPr="007849BE">
        <w:rPr>
          <w:rFonts w:ascii="Arial" w:eastAsia="Calibri" w:hAnsi="Arial" w:cs="Arial"/>
          <w:color w:val="000000"/>
          <w:sz w:val="24"/>
          <w:szCs w:val="24"/>
          <w:shd w:val="clear" w:color="auto" w:fill="FFFFFF"/>
        </w:rPr>
        <w:t xml:space="preserve">, avendo fin dall’origine implementato procedure subordinate a rigorose e selettive </w:t>
      </w:r>
      <w:r w:rsidRPr="007849BE">
        <w:rPr>
          <w:rFonts w:ascii="Arial" w:eastAsia="Calibri" w:hAnsi="Arial" w:cs="Arial"/>
          <w:i/>
          <w:iCs/>
          <w:color w:val="000000"/>
          <w:sz w:val="24"/>
          <w:szCs w:val="24"/>
          <w:shd w:val="clear" w:color="auto" w:fill="FFFFFF"/>
        </w:rPr>
        <w:t>due diligence</w:t>
      </w:r>
      <w:r w:rsidRPr="007849BE">
        <w:rPr>
          <w:rFonts w:ascii="Arial" w:eastAsia="Calibri" w:hAnsi="Arial" w:cs="Arial"/>
          <w:color w:val="000000"/>
          <w:sz w:val="24"/>
          <w:szCs w:val="24"/>
          <w:shd w:val="clear" w:color="auto" w:fill="FFFFFF"/>
        </w:rPr>
        <w:t xml:space="preserve"> che, seppur non previste normativamente, sono divenute ormai prassi consolidata e che vanno ad aggiungersi ai controlli preventivi (visto di conformità e attestazione e asseverazioni tecniche e di congruità dei costi) nonché ai </w:t>
      </w:r>
      <w:r w:rsidRPr="007849BE">
        <w:rPr>
          <w:rFonts w:ascii="Arial" w:eastAsia="Calibri" w:hAnsi="Arial" w:cs="Arial"/>
          <w:b/>
          <w:bCs/>
          <w:color w:val="000000"/>
          <w:sz w:val="24"/>
          <w:szCs w:val="24"/>
          <w:shd w:val="clear" w:color="auto" w:fill="FFFFFF"/>
        </w:rPr>
        <w:t>presìdi antiriciclaggio</w:t>
      </w:r>
      <w:r w:rsidRPr="007849BE">
        <w:rPr>
          <w:rFonts w:ascii="Arial" w:eastAsia="Calibri" w:hAnsi="Arial" w:cs="Arial"/>
          <w:color w:val="000000"/>
          <w:sz w:val="24"/>
          <w:szCs w:val="24"/>
          <w:shd w:val="clear" w:color="auto" w:fill="FFFFFF"/>
        </w:rPr>
        <w:t xml:space="preserve"> già previsti per legge”. </w:t>
      </w:r>
    </w:p>
    <w:p w14:paraId="4966F5BE" w14:textId="77777777" w:rsidR="007849BE" w:rsidRPr="007849BE" w:rsidRDefault="007849BE" w:rsidP="007849BE">
      <w:pPr>
        <w:jc w:val="both"/>
        <w:rPr>
          <w:rFonts w:eastAsia="Calibri"/>
          <w:color w:val="000000"/>
          <w:sz w:val="24"/>
          <w:szCs w:val="24"/>
          <w:shd w:val="clear" w:color="auto" w:fill="FFFFFF"/>
        </w:rPr>
      </w:pPr>
      <w:r w:rsidRPr="007849BE">
        <w:rPr>
          <w:rFonts w:ascii="Arial" w:eastAsia="Calibri" w:hAnsi="Arial" w:cs="Arial"/>
          <w:color w:val="000000"/>
          <w:sz w:val="24"/>
          <w:szCs w:val="24"/>
          <w:shd w:val="clear" w:color="auto" w:fill="FFFFFF"/>
        </w:rPr>
        <w:t> </w:t>
      </w:r>
    </w:p>
    <w:p w14:paraId="0A37C5B2" w14:textId="77777777" w:rsidR="00247945" w:rsidRDefault="00247945" w:rsidP="007849BE">
      <w:pPr>
        <w:jc w:val="both"/>
        <w:rPr>
          <w:rFonts w:ascii="Arial" w:eastAsia="Calibri" w:hAnsi="Arial" w:cs="Arial"/>
          <w:color w:val="000000"/>
          <w:sz w:val="24"/>
          <w:szCs w:val="24"/>
          <w:shd w:val="clear" w:color="auto" w:fill="FFFFFF"/>
        </w:rPr>
      </w:pPr>
    </w:p>
    <w:p w14:paraId="008CA4B7" w14:textId="77777777" w:rsidR="00247945" w:rsidRDefault="00247945" w:rsidP="007849BE">
      <w:pPr>
        <w:jc w:val="both"/>
        <w:rPr>
          <w:rFonts w:ascii="Arial" w:eastAsia="Calibri" w:hAnsi="Arial" w:cs="Arial"/>
          <w:color w:val="000000"/>
          <w:sz w:val="24"/>
          <w:szCs w:val="24"/>
          <w:shd w:val="clear" w:color="auto" w:fill="FFFFFF"/>
        </w:rPr>
      </w:pPr>
    </w:p>
    <w:p w14:paraId="0E1041F9" w14:textId="77777777" w:rsidR="00247945" w:rsidRDefault="00247945" w:rsidP="007849BE">
      <w:pPr>
        <w:jc w:val="both"/>
        <w:rPr>
          <w:rFonts w:ascii="Arial" w:eastAsia="Calibri" w:hAnsi="Arial" w:cs="Arial"/>
          <w:color w:val="000000"/>
          <w:sz w:val="24"/>
          <w:szCs w:val="24"/>
          <w:shd w:val="clear" w:color="auto" w:fill="FFFFFF"/>
        </w:rPr>
      </w:pPr>
    </w:p>
    <w:p w14:paraId="0DEE55D0" w14:textId="2E97BBE6" w:rsidR="007849BE" w:rsidRPr="007849BE" w:rsidRDefault="007849BE" w:rsidP="007849BE">
      <w:pPr>
        <w:jc w:val="both"/>
        <w:rPr>
          <w:rFonts w:eastAsia="Calibri"/>
          <w:color w:val="000000"/>
          <w:sz w:val="24"/>
          <w:szCs w:val="24"/>
          <w:shd w:val="clear" w:color="auto" w:fill="FFFFFF"/>
        </w:rPr>
      </w:pPr>
      <w:r w:rsidRPr="007849BE">
        <w:rPr>
          <w:rFonts w:ascii="Arial" w:eastAsia="Calibri" w:hAnsi="Arial" w:cs="Arial"/>
          <w:color w:val="000000"/>
          <w:sz w:val="24"/>
          <w:szCs w:val="24"/>
          <w:shd w:val="clear" w:color="auto" w:fill="FFFFFF"/>
        </w:rPr>
        <w:t xml:space="preserve">“Quanto prospettato – ha proseguito – è indispensabile per superare l’attuale stallo nella monetizzazione dei crediti evitando che misure adottate nel pieno dell’emergenza pandemica per sostenere e rilanciare l’economia, e per le quali lo Stato ha allocato rilevanti risorse, si trasformino, come peraltro sta già avvenendo, in un </w:t>
      </w:r>
      <w:r w:rsidRPr="007849BE">
        <w:rPr>
          <w:rFonts w:ascii="Arial" w:eastAsia="Calibri" w:hAnsi="Arial" w:cs="Arial"/>
          <w:b/>
          <w:bCs/>
          <w:color w:val="000000"/>
          <w:sz w:val="24"/>
          <w:szCs w:val="24"/>
          <w:shd w:val="clear" w:color="auto" w:fill="FFFFFF"/>
        </w:rPr>
        <w:t xml:space="preserve">micidiale </w:t>
      </w:r>
      <w:r w:rsidRPr="007849BE">
        <w:rPr>
          <w:rFonts w:ascii="Arial" w:eastAsia="Calibri" w:hAnsi="Arial" w:cs="Arial"/>
          <w:b/>
          <w:bCs/>
          <w:i/>
          <w:iCs/>
          <w:color w:val="000000"/>
          <w:sz w:val="24"/>
          <w:szCs w:val="24"/>
          <w:shd w:val="clear" w:color="auto" w:fill="FFFFFF"/>
        </w:rPr>
        <w:t>boomerang</w:t>
      </w:r>
      <w:r w:rsidRPr="007849BE">
        <w:rPr>
          <w:rFonts w:ascii="Arial" w:eastAsia="Calibri" w:hAnsi="Arial" w:cs="Arial"/>
          <w:b/>
          <w:bCs/>
          <w:color w:val="000000"/>
          <w:sz w:val="24"/>
          <w:szCs w:val="24"/>
          <w:shd w:val="clear" w:color="auto" w:fill="FFFFFF"/>
        </w:rPr>
        <w:t xml:space="preserve"> economico e sociale per famiglie e imprese</w:t>
      </w:r>
      <w:r w:rsidRPr="007849BE">
        <w:rPr>
          <w:rFonts w:ascii="Arial" w:eastAsia="Calibri" w:hAnsi="Arial" w:cs="Arial"/>
          <w:color w:val="000000"/>
          <w:sz w:val="24"/>
          <w:szCs w:val="24"/>
          <w:shd w:val="clear" w:color="auto" w:fill="FFFFFF"/>
        </w:rPr>
        <w:t>”. </w:t>
      </w:r>
    </w:p>
    <w:p w14:paraId="0B5ED399" w14:textId="77777777" w:rsidR="007849BE" w:rsidRPr="007849BE" w:rsidRDefault="007849BE" w:rsidP="007849BE">
      <w:pPr>
        <w:jc w:val="both"/>
        <w:rPr>
          <w:rFonts w:eastAsia="Calibri"/>
          <w:color w:val="000000"/>
          <w:sz w:val="24"/>
          <w:szCs w:val="24"/>
          <w:shd w:val="clear" w:color="auto" w:fill="FFFFFF"/>
        </w:rPr>
      </w:pPr>
      <w:r w:rsidRPr="007849BE">
        <w:rPr>
          <w:rFonts w:ascii="Arial" w:eastAsia="Calibri" w:hAnsi="Arial" w:cs="Arial"/>
          <w:color w:val="000000"/>
          <w:sz w:val="24"/>
          <w:szCs w:val="24"/>
          <w:shd w:val="clear" w:color="auto" w:fill="FFFFFF"/>
        </w:rPr>
        <w:t>  </w:t>
      </w:r>
    </w:p>
    <w:p w14:paraId="4FE84F8D" w14:textId="77777777" w:rsidR="007849BE" w:rsidRPr="007849BE" w:rsidRDefault="007849BE" w:rsidP="007849BE">
      <w:pPr>
        <w:jc w:val="both"/>
        <w:rPr>
          <w:rFonts w:eastAsia="Calibri"/>
          <w:color w:val="000000"/>
          <w:sz w:val="24"/>
          <w:szCs w:val="24"/>
          <w:shd w:val="clear" w:color="auto" w:fill="FFFFFF"/>
        </w:rPr>
      </w:pPr>
      <w:r w:rsidRPr="007849BE">
        <w:rPr>
          <w:rFonts w:ascii="Arial" w:eastAsia="Calibri" w:hAnsi="Arial" w:cs="Arial"/>
          <w:color w:val="000000"/>
          <w:sz w:val="24"/>
          <w:szCs w:val="24"/>
          <w:shd w:val="clear" w:color="auto" w:fill="FFFFFF"/>
        </w:rPr>
        <w:t xml:space="preserve">Sempre in materia di bonus edilizi, dai commercialisti è stata inoltre rimarcata la necessità che si “intervenga rapidamente con </w:t>
      </w:r>
      <w:r w:rsidRPr="007849BE">
        <w:rPr>
          <w:rFonts w:ascii="Arial" w:eastAsia="Calibri" w:hAnsi="Arial" w:cs="Arial"/>
          <w:b/>
          <w:bCs/>
          <w:color w:val="000000"/>
          <w:sz w:val="24"/>
          <w:szCs w:val="24"/>
          <w:shd w:val="clear" w:color="auto" w:fill="FFFFFF"/>
        </w:rPr>
        <w:t>provvedimenti di prassi e di interpretazione autentica</w:t>
      </w:r>
      <w:r w:rsidRPr="007849BE">
        <w:rPr>
          <w:rFonts w:ascii="Arial" w:eastAsia="Calibri" w:hAnsi="Arial" w:cs="Arial"/>
          <w:color w:val="000000"/>
          <w:sz w:val="24"/>
          <w:szCs w:val="24"/>
          <w:shd w:val="clear" w:color="auto" w:fill="FFFFFF"/>
        </w:rPr>
        <w:t xml:space="preserve"> in merito ai numerosi dubbi applicativi, che a distanza di oltre due anni e mezzo dall’introduzione delle nuove norme, ancora non sono stati dipanati, trai i quali il perimetro di applicazione temporale e oggettivo del requisito SOA per le imprese affidatarie di lavori superiori a 516.000,00 euro”. </w:t>
      </w:r>
    </w:p>
    <w:p w14:paraId="1E40AC31" w14:textId="77777777" w:rsidR="007849BE" w:rsidRPr="007849BE" w:rsidRDefault="007849BE" w:rsidP="007849BE">
      <w:pPr>
        <w:spacing w:before="120"/>
        <w:jc w:val="both"/>
        <w:rPr>
          <w:rFonts w:eastAsia="Calibri"/>
          <w:color w:val="000000"/>
          <w:sz w:val="24"/>
          <w:szCs w:val="24"/>
          <w:shd w:val="clear" w:color="auto" w:fill="FFFFFF"/>
        </w:rPr>
      </w:pPr>
      <w:r w:rsidRPr="007849BE">
        <w:rPr>
          <w:rFonts w:ascii="Arial" w:eastAsia="Calibri" w:hAnsi="Arial" w:cs="Arial"/>
          <w:color w:val="000000"/>
          <w:sz w:val="24"/>
          <w:szCs w:val="24"/>
          <w:shd w:val="clear" w:color="auto" w:fill="FFFFFF"/>
        </w:rPr>
        <w:t> </w:t>
      </w:r>
    </w:p>
    <w:p w14:paraId="321A90B8" w14:textId="46F6807D" w:rsidR="007849BE" w:rsidRPr="007849BE" w:rsidRDefault="007849BE" w:rsidP="007849BE">
      <w:pPr>
        <w:jc w:val="both"/>
        <w:rPr>
          <w:rFonts w:eastAsia="Calibri"/>
          <w:color w:val="000000"/>
          <w:sz w:val="24"/>
          <w:szCs w:val="24"/>
          <w:shd w:val="clear" w:color="auto" w:fill="FFFFFF"/>
        </w:rPr>
      </w:pPr>
      <w:r w:rsidRPr="007849BE">
        <w:rPr>
          <w:rFonts w:ascii="Arial" w:eastAsia="Calibri" w:hAnsi="Arial" w:cs="Arial"/>
          <w:color w:val="000000"/>
          <w:sz w:val="24"/>
          <w:szCs w:val="24"/>
          <w:shd w:val="clear" w:color="auto" w:fill="FFFFFF"/>
        </w:rPr>
        <w:t xml:space="preserve">Infine, è stato posto l’accento sulla necessità di </w:t>
      </w:r>
      <w:r w:rsidRPr="007849BE">
        <w:rPr>
          <w:rFonts w:ascii="Arial" w:eastAsia="Calibri" w:hAnsi="Arial" w:cs="Arial"/>
          <w:b/>
          <w:bCs/>
          <w:color w:val="000000"/>
          <w:sz w:val="24"/>
          <w:szCs w:val="24"/>
          <w:shd w:val="clear" w:color="auto" w:fill="FFFFFF"/>
        </w:rPr>
        <w:t>stabilizzare le misure agevolative</w:t>
      </w:r>
      <w:r w:rsidRPr="007849BE">
        <w:rPr>
          <w:rFonts w:ascii="Arial" w:eastAsia="Calibri" w:hAnsi="Arial" w:cs="Arial"/>
          <w:color w:val="000000"/>
          <w:sz w:val="24"/>
          <w:szCs w:val="24"/>
          <w:shd w:val="clear" w:color="auto" w:fill="FFFFFF"/>
        </w:rPr>
        <w:t xml:space="preserve"> connesse al piano </w:t>
      </w:r>
      <w:r w:rsidRPr="007849BE">
        <w:rPr>
          <w:rFonts w:ascii="Arial" w:eastAsia="Calibri" w:hAnsi="Arial" w:cs="Arial"/>
          <w:b/>
          <w:bCs/>
          <w:color w:val="000000"/>
          <w:sz w:val="24"/>
          <w:szCs w:val="24"/>
          <w:shd w:val="clear" w:color="auto" w:fill="FFFFFF"/>
        </w:rPr>
        <w:t>Industria 4.0</w:t>
      </w:r>
      <w:r w:rsidRPr="007849BE">
        <w:rPr>
          <w:rFonts w:ascii="Arial" w:eastAsia="Calibri" w:hAnsi="Arial" w:cs="Arial"/>
          <w:color w:val="000000"/>
          <w:sz w:val="24"/>
          <w:szCs w:val="24"/>
          <w:shd w:val="clear" w:color="auto" w:fill="FFFFFF"/>
        </w:rPr>
        <w:t xml:space="preserve"> e sull’opportunità di estendere a tali agevolazioni la facoltà di optare per lo sconto in fattura e la cessione a terzi del credito di imposta, ricordando che tale impegno era già stato assunto dal </w:t>
      </w:r>
      <w:r w:rsidRPr="007849BE">
        <w:rPr>
          <w:rFonts w:ascii="Arial" w:eastAsia="Calibri" w:hAnsi="Arial" w:cs="Arial"/>
          <w:b/>
          <w:bCs/>
          <w:color w:val="000000"/>
          <w:sz w:val="24"/>
          <w:szCs w:val="24"/>
          <w:shd w:val="clear" w:color="auto" w:fill="FFFFFF"/>
        </w:rPr>
        <w:t>Governo Draghi</w:t>
      </w:r>
      <w:r w:rsidRPr="007849BE">
        <w:rPr>
          <w:rFonts w:ascii="Arial" w:eastAsia="Calibri" w:hAnsi="Arial" w:cs="Arial"/>
          <w:color w:val="000000"/>
          <w:sz w:val="24"/>
          <w:szCs w:val="24"/>
          <w:shd w:val="clear" w:color="auto" w:fill="FFFFFF"/>
        </w:rPr>
        <w:t xml:space="preserve">. </w:t>
      </w:r>
      <w:r w:rsidRPr="00247945">
        <w:rPr>
          <w:rFonts w:ascii="Arial" w:eastAsia="Calibri" w:hAnsi="Arial" w:cs="Arial"/>
          <w:color w:val="000000"/>
          <w:sz w:val="24"/>
          <w:szCs w:val="24"/>
          <w:shd w:val="clear" w:color="auto" w:fill="FFFFFF"/>
        </w:rPr>
        <w:t xml:space="preserve">“È </w:t>
      </w:r>
      <w:r w:rsidRPr="007849BE">
        <w:rPr>
          <w:rFonts w:ascii="Arial" w:eastAsia="Calibri" w:hAnsi="Arial" w:cs="Arial"/>
          <w:color w:val="000000"/>
          <w:sz w:val="24"/>
          <w:szCs w:val="24"/>
          <w:shd w:val="clear" w:color="auto" w:fill="FFFFFF"/>
        </w:rPr>
        <w:t xml:space="preserve">quanto mai opportuno che venga rimesso all’ordine del giorno – ha concluso Regalbuto </w:t>
      </w:r>
      <w:r w:rsidR="00247945">
        <w:rPr>
          <w:rFonts w:ascii="Arial" w:eastAsia="Calibri" w:hAnsi="Arial" w:cs="Arial"/>
          <w:color w:val="000000"/>
          <w:sz w:val="24"/>
          <w:szCs w:val="24"/>
          <w:shd w:val="clear" w:color="auto" w:fill="FFFFFF"/>
        </w:rPr>
        <w:t>–</w:t>
      </w:r>
      <w:r w:rsidRPr="007849BE">
        <w:rPr>
          <w:rFonts w:ascii="Arial" w:eastAsia="Calibri" w:hAnsi="Arial" w:cs="Arial"/>
          <w:color w:val="000000"/>
          <w:sz w:val="24"/>
          <w:szCs w:val="24"/>
          <w:shd w:val="clear" w:color="auto" w:fill="FFFFFF"/>
        </w:rPr>
        <w:t xml:space="preserve"> in quanto i </w:t>
      </w:r>
      <w:r w:rsidRPr="007849BE">
        <w:rPr>
          <w:rFonts w:ascii="Arial" w:eastAsia="Calibri" w:hAnsi="Arial" w:cs="Arial"/>
          <w:b/>
          <w:bCs/>
          <w:color w:val="000000"/>
          <w:sz w:val="24"/>
          <w:szCs w:val="24"/>
          <w:shd w:val="clear" w:color="auto" w:fill="FFFFFF"/>
        </w:rPr>
        <w:t>vantaggi</w:t>
      </w:r>
      <w:r w:rsidRPr="007849BE">
        <w:rPr>
          <w:rFonts w:ascii="Arial" w:eastAsia="Calibri" w:hAnsi="Arial" w:cs="Arial"/>
          <w:color w:val="000000"/>
          <w:sz w:val="24"/>
          <w:szCs w:val="24"/>
          <w:shd w:val="clear" w:color="auto" w:fill="FFFFFF"/>
        </w:rPr>
        <w:t xml:space="preserve"> per le imprese sarebbero notevoli, tra cui quelli di </w:t>
      </w:r>
      <w:r w:rsidRPr="007849BE">
        <w:rPr>
          <w:rFonts w:ascii="Arial" w:eastAsia="Calibri" w:hAnsi="Arial" w:cs="Arial"/>
          <w:b/>
          <w:bCs/>
          <w:color w:val="000000"/>
          <w:sz w:val="24"/>
          <w:szCs w:val="24"/>
          <w:shd w:val="clear" w:color="auto" w:fill="FFFFFF"/>
        </w:rPr>
        <w:t>monetizzare</w:t>
      </w:r>
      <w:r w:rsidRPr="007849BE">
        <w:rPr>
          <w:rFonts w:ascii="Arial" w:eastAsia="Calibri" w:hAnsi="Arial" w:cs="Arial"/>
          <w:color w:val="000000"/>
          <w:sz w:val="24"/>
          <w:szCs w:val="24"/>
          <w:shd w:val="clear" w:color="auto" w:fill="FFFFFF"/>
        </w:rPr>
        <w:t xml:space="preserve"> più velocemente il credito d’imposta; </w:t>
      </w:r>
      <w:r w:rsidRPr="007849BE">
        <w:rPr>
          <w:rFonts w:ascii="Arial" w:eastAsia="Calibri" w:hAnsi="Arial" w:cs="Arial"/>
          <w:b/>
          <w:bCs/>
          <w:color w:val="000000"/>
          <w:sz w:val="24"/>
          <w:szCs w:val="24"/>
          <w:shd w:val="clear" w:color="auto" w:fill="FFFFFF"/>
        </w:rPr>
        <w:t>accelerare la transizione ecologica e tecnologica</w:t>
      </w:r>
      <w:r w:rsidRPr="007849BE">
        <w:rPr>
          <w:rFonts w:ascii="Arial" w:eastAsia="Calibri" w:hAnsi="Arial" w:cs="Arial"/>
          <w:color w:val="000000"/>
          <w:sz w:val="24"/>
          <w:szCs w:val="24"/>
          <w:shd w:val="clear" w:color="auto" w:fill="FFFFFF"/>
        </w:rPr>
        <w:t xml:space="preserve">; aumentare la </w:t>
      </w:r>
      <w:r w:rsidRPr="007849BE">
        <w:rPr>
          <w:rFonts w:ascii="Arial" w:eastAsia="Calibri" w:hAnsi="Arial" w:cs="Arial"/>
          <w:b/>
          <w:bCs/>
          <w:color w:val="000000"/>
          <w:sz w:val="24"/>
          <w:szCs w:val="24"/>
          <w:shd w:val="clear" w:color="auto" w:fill="FFFFFF"/>
        </w:rPr>
        <w:t>capacità di finanziamento</w:t>
      </w:r>
      <w:r w:rsidRPr="007849BE">
        <w:rPr>
          <w:rFonts w:ascii="Arial" w:eastAsia="Calibri" w:hAnsi="Arial" w:cs="Arial"/>
          <w:color w:val="000000"/>
          <w:sz w:val="24"/>
          <w:szCs w:val="24"/>
          <w:shd w:val="clear" w:color="auto" w:fill="FFFFFF"/>
        </w:rPr>
        <w:t xml:space="preserve">; migliorare la </w:t>
      </w:r>
      <w:r w:rsidRPr="007849BE">
        <w:rPr>
          <w:rFonts w:ascii="Arial" w:eastAsia="Calibri" w:hAnsi="Arial" w:cs="Arial"/>
          <w:b/>
          <w:bCs/>
          <w:color w:val="000000"/>
          <w:sz w:val="24"/>
          <w:szCs w:val="24"/>
          <w:shd w:val="clear" w:color="auto" w:fill="FFFFFF"/>
        </w:rPr>
        <w:t>produttività</w:t>
      </w:r>
      <w:r w:rsidRPr="007849BE">
        <w:rPr>
          <w:rFonts w:ascii="Arial" w:eastAsia="Calibri" w:hAnsi="Arial" w:cs="Arial"/>
          <w:color w:val="000000"/>
          <w:sz w:val="24"/>
          <w:szCs w:val="24"/>
          <w:shd w:val="clear" w:color="auto" w:fill="FFFFFF"/>
        </w:rPr>
        <w:t xml:space="preserve">; ridurre il </w:t>
      </w:r>
      <w:r w:rsidRPr="007849BE">
        <w:rPr>
          <w:rFonts w:ascii="Arial" w:eastAsia="Calibri" w:hAnsi="Arial" w:cs="Arial"/>
          <w:b/>
          <w:bCs/>
          <w:color w:val="000000"/>
          <w:sz w:val="24"/>
          <w:szCs w:val="24"/>
          <w:shd w:val="clear" w:color="auto" w:fill="FFFFFF"/>
        </w:rPr>
        <w:t>rischio di credito</w:t>
      </w:r>
      <w:r w:rsidRPr="007849BE">
        <w:rPr>
          <w:rFonts w:ascii="Arial" w:eastAsia="Calibri" w:hAnsi="Arial" w:cs="Arial"/>
          <w:color w:val="000000"/>
          <w:sz w:val="24"/>
          <w:szCs w:val="24"/>
          <w:shd w:val="clear" w:color="auto" w:fill="FFFFFF"/>
        </w:rPr>
        <w:t xml:space="preserve"> del sistema bancario; indirizzare l’</w:t>
      </w:r>
      <w:r w:rsidRPr="007849BE">
        <w:rPr>
          <w:rFonts w:ascii="Arial" w:eastAsia="Calibri" w:hAnsi="Arial" w:cs="Arial"/>
          <w:b/>
          <w:bCs/>
          <w:color w:val="000000"/>
          <w:sz w:val="24"/>
          <w:szCs w:val="24"/>
          <w:shd w:val="clear" w:color="auto" w:fill="FFFFFF"/>
        </w:rPr>
        <w:t xml:space="preserve">eccedenza di liquidità </w:t>
      </w:r>
      <w:r w:rsidRPr="007849BE">
        <w:rPr>
          <w:rFonts w:ascii="Arial" w:eastAsia="Calibri" w:hAnsi="Arial" w:cs="Arial"/>
          <w:color w:val="000000"/>
          <w:sz w:val="24"/>
          <w:szCs w:val="24"/>
          <w:shd w:val="clear" w:color="auto" w:fill="FFFFFF"/>
        </w:rPr>
        <w:t xml:space="preserve">presente negli istituti di credito nell’economia reale; creare </w:t>
      </w:r>
      <w:r w:rsidRPr="007849BE">
        <w:rPr>
          <w:rFonts w:ascii="Arial" w:eastAsia="Calibri" w:hAnsi="Arial" w:cs="Arial"/>
          <w:b/>
          <w:bCs/>
          <w:color w:val="000000"/>
          <w:sz w:val="24"/>
          <w:szCs w:val="24"/>
          <w:shd w:val="clear" w:color="auto" w:fill="FFFFFF"/>
        </w:rPr>
        <w:t xml:space="preserve">nuova occupazione </w:t>
      </w:r>
      <w:r w:rsidRPr="007849BE">
        <w:rPr>
          <w:rFonts w:ascii="Arial" w:eastAsia="Calibri" w:hAnsi="Arial" w:cs="Arial"/>
          <w:color w:val="000000"/>
          <w:sz w:val="24"/>
          <w:szCs w:val="24"/>
          <w:shd w:val="clear" w:color="auto" w:fill="FFFFFF"/>
        </w:rPr>
        <w:t>soprattutto giovanile, tenuto conto che gli investimenti in digitalizzazione e innovazione tecnologica sono proprio quelli di maggiore interesse per i giovani”. </w:t>
      </w:r>
    </w:p>
    <w:p w14:paraId="457A6B6E" w14:textId="238A74FB" w:rsidR="00F1028D" w:rsidRDefault="00F1028D" w:rsidP="007849BE">
      <w:pPr>
        <w:pStyle w:val="xmsonormal"/>
        <w:shd w:val="clear" w:color="auto" w:fill="FFFFFF"/>
        <w:jc w:val="center"/>
        <w:rPr>
          <w:rFonts w:ascii="Arial" w:eastAsia="Garamond" w:hAnsi="Arial" w:cs="Arial"/>
          <w:sz w:val="24"/>
          <w:szCs w:val="24"/>
        </w:rPr>
      </w:pPr>
    </w:p>
    <w:sectPr w:rsidR="00F1028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F5B7" w14:textId="77777777" w:rsidR="00327928" w:rsidRDefault="00327928" w:rsidP="00323761">
      <w:r>
        <w:separator/>
      </w:r>
    </w:p>
  </w:endnote>
  <w:endnote w:type="continuationSeparator" w:id="0">
    <w:p w14:paraId="4570C56E" w14:textId="77777777" w:rsidR="00327928" w:rsidRDefault="00327928" w:rsidP="0032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78F5" w14:textId="77777777" w:rsidR="00327928" w:rsidRDefault="00327928" w:rsidP="00323761">
      <w:r>
        <w:separator/>
      </w:r>
    </w:p>
  </w:footnote>
  <w:footnote w:type="continuationSeparator" w:id="0">
    <w:p w14:paraId="5487C385" w14:textId="77777777" w:rsidR="00327928" w:rsidRDefault="00327928" w:rsidP="00323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8B3D" w14:textId="33E0D90B" w:rsidR="00E33797" w:rsidRDefault="00E33797" w:rsidP="00E33797">
    <w:pPr>
      <w:pStyle w:val="Intestazione"/>
      <w:jc w:val="center"/>
    </w:pPr>
    <w:r w:rsidRPr="00323761">
      <w:rPr>
        <w:rFonts w:ascii="Calibri" w:eastAsia="Calibri" w:hAnsi="Calibri" w:cs="Calibri"/>
        <w:b/>
        <w:noProof/>
        <w:color w:val="000000"/>
        <w:kern w:val="0"/>
        <w:sz w:val="24"/>
        <w:szCs w:val="24"/>
        <w:lang w:eastAsia="it-IT"/>
        <w14:ligatures w14:val="none"/>
      </w:rPr>
      <w:drawing>
        <wp:inline distT="0" distB="0" distL="0" distR="0" wp14:anchorId="53F3398F" wp14:editId="34F4167D">
          <wp:extent cx="2886013" cy="952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7110" cy="99906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2FE"/>
    <w:multiLevelType w:val="hybridMultilevel"/>
    <w:tmpl w:val="B6E4D994"/>
    <w:lvl w:ilvl="0" w:tplc="402A01CC">
      <w:start w:val="1"/>
      <w:numFmt w:val="bullet"/>
      <w:lvlText w:val=""/>
      <w:lvlJc w:val="left"/>
      <w:pPr>
        <w:ind w:left="1287" w:hanging="360"/>
      </w:pPr>
      <w:rPr>
        <w:rFonts w:ascii="Symbol" w:hAnsi="Symbol" w:hint="default"/>
        <w:sz w:val="18"/>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2CF85895"/>
    <w:multiLevelType w:val="hybridMultilevel"/>
    <w:tmpl w:val="B308AEA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DDD3118"/>
    <w:multiLevelType w:val="hybridMultilevel"/>
    <w:tmpl w:val="AE00E77E"/>
    <w:lvl w:ilvl="0" w:tplc="D776665E">
      <w:numFmt w:val="bullet"/>
      <w:lvlText w:val="-"/>
      <w:lvlJc w:val="left"/>
      <w:pPr>
        <w:ind w:left="436" w:hanging="360"/>
      </w:pPr>
      <w:rPr>
        <w:rFonts w:ascii="Garamond" w:eastAsia="Calibri" w:hAnsi="Garamond" w:cs="Calibri" w:hint="default"/>
      </w:rPr>
    </w:lvl>
    <w:lvl w:ilvl="1" w:tplc="04100003">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454A6A15"/>
    <w:multiLevelType w:val="hybridMultilevel"/>
    <w:tmpl w:val="FF96DC66"/>
    <w:lvl w:ilvl="0" w:tplc="B07E733A">
      <w:start w:val="1"/>
      <w:numFmt w:val="lowerLetter"/>
      <w:lvlText w:val="%1."/>
      <w:lvlJc w:val="left"/>
      <w:pPr>
        <w:ind w:left="720" w:hanging="360"/>
      </w:pPr>
      <w:rPr>
        <w:rFonts w:ascii="Garamond" w:eastAsia="Garamond" w:hAnsi="Garamond" w:cs="Garamond"/>
        <w:color w:val="auto"/>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AF07F47"/>
    <w:multiLevelType w:val="hybridMultilevel"/>
    <w:tmpl w:val="6434AE16"/>
    <w:lvl w:ilvl="0" w:tplc="18E8F078">
      <w:start w:val="1"/>
      <w:numFmt w:val="decimal"/>
      <w:lvlText w:val="%1."/>
      <w:lvlJc w:val="left"/>
      <w:pPr>
        <w:ind w:left="360" w:hanging="360"/>
      </w:pPr>
      <w:rPr>
        <w:b w:val="0"/>
        <w:i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1639339023">
    <w:abstractNumId w:val="2"/>
  </w:num>
  <w:num w:numId="2" w16cid:durableId="1121728565">
    <w:abstractNumId w:val="3"/>
    <w:lvlOverride w:ilvl="0">
      <w:startOverride w:val="1"/>
    </w:lvlOverride>
    <w:lvlOverride w:ilvl="1"/>
    <w:lvlOverride w:ilvl="2"/>
    <w:lvlOverride w:ilvl="3"/>
    <w:lvlOverride w:ilvl="4"/>
    <w:lvlOverride w:ilvl="5"/>
    <w:lvlOverride w:ilvl="6"/>
    <w:lvlOverride w:ilvl="7"/>
    <w:lvlOverride w:ilvl="8"/>
  </w:num>
  <w:num w:numId="3" w16cid:durableId="175776327">
    <w:abstractNumId w:val="1"/>
  </w:num>
  <w:num w:numId="4" w16cid:durableId="1167671136">
    <w:abstractNumId w:val="0"/>
  </w:num>
  <w:num w:numId="5" w16cid:durableId="1987395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AA"/>
    <w:rsid w:val="001061D7"/>
    <w:rsid w:val="001F7DAC"/>
    <w:rsid w:val="00247945"/>
    <w:rsid w:val="00323761"/>
    <w:rsid w:val="00327928"/>
    <w:rsid w:val="005A6A5D"/>
    <w:rsid w:val="005D5951"/>
    <w:rsid w:val="00607512"/>
    <w:rsid w:val="007849BE"/>
    <w:rsid w:val="00A867F7"/>
    <w:rsid w:val="00A92CAA"/>
    <w:rsid w:val="00B64284"/>
    <w:rsid w:val="00D05847"/>
    <w:rsid w:val="00D3592C"/>
    <w:rsid w:val="00E33797"/>
    <w:rsid w:val="00E6025E"/>
    <w:rsid w:val="00EA4C65"/>
    <w:rsid w:val="00F1028D"/>
    <w:rsid w:val="00FA3D88"/>
    <w:rsid w:val="00FB46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5A18"/>
  <w15:chartTrackingRefBased/>
  <w15:docId w15:val="{667EC4AE-B065-4A22-AEC6-D4188236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3797"/>
    <w:pPr>
      <w:spacing w:after="0" w:line="240" w:lineRule="auto"/>
    </w:pPr>
    <w:rPr>
      <w:rFonts w:ascii="Calibri" w:hAnsi="Calibri" w:cs="Calibri"/>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761"/>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323761"/>
  </w:style>
  <w:style w:type="paragraph" w:styleId="Pidipagina">
    <w:name w:val="footer"/>
    <w:basedOn w:val="Normale"/>
    <w:link w:val="PidipaginaCarattere"/>
    <w:uiPriority w:val="99"/>
    <w:unhideWhenUsed/>
    <w:rsid w:val="00323761"/>
    <w:pPr>
      <w:tabs>
        <w:tab w:val="center" w:pos="4819"/>
        <w:tab w:val="right" w:pos="9638"/>
      </w:tabs>
    </w:pPr>
    <w:rPr>
      <w:rFonts w:asciiTheme="minorHAnsi" w:hAnsiTheme="minorHAnsi" w:cstheme="minorBidi"/>
      <w:kern w:val="2"/>
      <w:lang w:eastAsia="en-US"/>
      <w14:ligatures w14:val="standardContextual"/>
    </w:rPr>
  </w:style>
  <w:style w:type="character" w:customStyle="1" w:styleId="PidipaginaCarattere">
    <w:name w:val="Piè di pagina Carattere"/>
    <w:basedOn w:val="Carpredefinitoparagrafo"/>
    <w:link w:val="Pidipagina"/>
    <w:uiPriority w:val="99"/>
    <w:rsid w:val="00323761"/>
  </w:style>
  <w:style w:type="paragraph" w:customStyle="1" w:styleId="Normale1">
    <w:name w:val="Normale1"/>
    <w:rsid w:val="00D3592C"/>
    <w:pPr>
      <w:widowControl w:val="0"/>
      <w:spacing w:after="200" w:line="276" w:lineRule="auto"/>
    </w:pPr>
    <w:rPr>
      <w:rFonts w:ascii="Calibri" w:eastAsia="Calibri" w:hAnsi="Calibri" w:cs="Calibri"/>
      <w:color w:val="000000"/>
      <w:kern w:val="0"/>
      <w:lang w:eastAsia="it-IT"/>
      <w14:ligatures w14:val="none"/>
    </w:rPr>
  </w:style>
  <w:style w:type="paragraph" w:styleId="Paragrafoelenco">
    <w:name w:val="List Paragraph"/>
    <w:basedOn w:val="Normale"/>
    <w:uiPriority w:val="34"/>
    <w:qFormat/>
    <w:rsid w:val="00F1028D"/>
    <w:pPr>
      <w:spacing w:after="200" w:line="276" w:lineRule="auto"/>
      <w:ind w:left="720"/>
      <w:contextualSpacing/>
    </w:pPr>
    <w:rPr>
      <w:rFonts w:eastAsia="Calibri" w:cs="Times New Roman"/>
    </w:rPr>
  </w:style>
  <w:style w:type="paragraph" w:customStyle="1" w:styleId="xmsonormal">
    <w:name w:val="xmsonormal"/>
    <w:basedOn w:val="Normale"/>
    <w:rsid w:val="00E33797"/>
  </w:style>
  <w:style w:type="character" w:customStyle="1" w:styleId="contentpasted0">
    <w:name w:val="contentpasted0"/>
    <w:basedOn w:val="Carpredefinitoparagrafo"/>
    <w:rsid w:val="00E3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417884">
      <w:bodyDiv w:val="1"/>
      <w:marLeft w:val="0"/>
      <w:marRight w:val="0"/>
      <w:marTop w:val="0"/>
      <w:marBottom w:val="0"/>
      <w:divBdr>
        <w:top w:val="none" w:sz="0" w:space="0" w:color="auto"/>
        <w:left w:val="none" w:sz="0" w:space="0" w:color="auto"/>
        <w:bottom w:val="none" w:sz="0" w:space="0" w:color="auto"/>
        <w:right w:val="none" w:sz="0" w:space="0" w:color="auto"/>
      </w:divBdr>
    </w:div>
    <w:div w:id="19411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4268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dcterms:created xsi:type="dcterms:W3CDTF">2023-01-17T13:00:00Z</dcterms:created>
  <dcterms:modified xsi:type="dcterms:W3CDTF">2023-01-17T18:30:00Z</dcterms:modified>
</cp:coreProperties>
</file>