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03BB1" w14:textId="77777777" w:rsidR="000326A1" w:rsidRDefault="000326A1" w:rsidP="00032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9630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COMUNICATI STAMPA </w:t>
      </w:r>
    </w:p>
    <w:p w14:paraId="744EEDB5" w14:textId="77777777" w:rsidR="000326A1" w:rsidRPr="00963056" w:rsidRDefault="000326A1" w:rsidP="000326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</w:p>
    <w:p w14:paraId="13023510" w14:textId="32174919" w:rsidR="000326A1" w:rsidRDefault="000326A1" w:rsidP="00032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9630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COMMERCIALISTI:</w:t>
      </w:r>
      <w:r w:rsidR="00A13F85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BENE </w:t>
      </w:r>
      <w:r w:rsidRPr="009630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L’EMENDAMENTO AL D.L. RISTORI SUL SOVRAINDEBITAMENTO </w:t>
      </w:r>
    </w:p>
    <w:p w14:paraId="56BA6779" w14:textId="77777777" w:rsidR="000326A1" w:rsidRPr="00963056" w:rsidRDefault="000326A1" w:rsidP="000326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</w:p>
    <w:p w14:paraId="482083CB" w14:textId="46925DCE" w:rsidR="000326A1" w:rsidRDefault="000326A1" w:rsidP="000326A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9630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“Norma </w:t>
      </w:r>
      <w:r w:rsidR="000A6A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promossa</w:t>
      </w:r>
      <w:r w:rsidRPr="009630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dal Consiglio nazionale, va in aiuto di chi è in difficoltà</w:t>
      </w:r>
      <w:r w:rsidR="000A6A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. Ora anche i piccoli possono </w:t>
      </w:r>
      <w:proofErr w:type="spellStart"/>
      <w:r w:rsidR="000A6A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es</w:t>
      </w:r>
      <w:r w:rsidR="000A7C82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d</w:t>
      </w:r>
      <w:r w:rsidR="000A6A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ebitarsi</w:t>
      </w:r>
      <w:proofErr w:type="spellEnd"/>
      <w:r w:rsidR="000A6A00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da subito con regole più semplici</w:t>
      </w:r>
      <w:r w:rsidRPr="00963056">
        <w:rPr>
          <w:rFonts w:ascii="Arial" w:eastAsia="Times New Roman" w:hAnsi="Arial" w:cs="Arial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”. Per la categoria resta però insoddisfacente la disciplina dei compensi di OCC e Codice della crisi </w:t>
      </w:r>
    </w:p>
    <w:p w14:paraId="226CDFBC" w14:textId="77777777" w:rsidR="000326A1" w:rsidRPr="00963056" w:rsidRDefault="000326A1" w:rsidP="000326A1">
      <w:pPr>
        <w:shd w:val="clear" w:color="auto" w:fill="FFFFFF"/>
        <w:spacing w:after="0" w:line="240" w:lineRule="auto"/>
        <w:jc w:val="both"/>
        <w:rPr>
          <w:rFonts w:eastAsia="Times New Roman" w:cs="Calibri"/>
          <w:color w:val="000000"/>
          <w:lang w:eastAsia="it-IT"/>
        </w:rPr>
      </w:pPr>
    </w:p>
    <w:p w14:paraId="45CFF2BB" w14:textId="195578CF" w:rsidR="000326A1" w:rsidRDefault="000326A1" w:rsidP="000326A1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</w:pPr>
      <w:r w:rsidRPr="00963056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>Roma, 16 dicembre 2020 –</w:t>
      </w:r>
      <w:r w:rsidR="000A6A00">
        <w:rPr>
          <w:rFonts w:ascii="Arial" w:eastAsia="Times New Roman" w:hAnsi="Arial" w:cs="Arial"/>
          <w:i/>
          <w:i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“Apprezzamento” per l’approvazione dell’emendamento al </w:t>
      </w:r>
      <w:proofErr w:type="spellStart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d.l.</w:t>
      </w:r>
      <w:proofErr w:type="spellEnd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Ristori che modifica la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legge n. 3/2012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, integrandola con alcune “importanti previsioni che connoteranno le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procedure di </w:t>
      </w:r>
      <w:proofErr w:type="spellStart"/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sovraindebitam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e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nto</w:t>
      </w:r>
      <w:proofErr w:type="spellEnd"/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declinate nel Codice della crisi”. Lo esprime il Consiglio nazionale dei commercialisti che sottolinea di “aver svolto in questi mesi una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intensa attività a supporto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d</w:t>
      </w:r>
      <w:r w:rsidR="000A6A00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i questa norma</w:t>
      </w:r>
      <w:r w:rsidR="00A13F8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grazie alla quale ora anche i piccoli possono </w:t>
      </w:r>
      <w:proofErr w:type="spellStart"/>
      <w:r w:rsidR="00A13F8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esdebitarsi</w:t>
      </w:r>
      <w:proofErr w:type="spellEnd"/>
      <w:r w:rsidR="00A13F85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da subito con regole più semplici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”.  </w:t>
      </w:r>
    </w:p>
    <w:p w14:paraId="559FDC0E" w14:textId="77777777" w:rsidR="000326A1" w:rsidRPr="00963056" w:rsidRDefault="000326A1" w:rsidP="000326A1">
      <w:pPr>
        <w:shd w:val="clear" w:color="auto" w:fill="FFFFFF"/>
        <w:spacing w:after="0" w:line="253" w:lineRule="atLeast"/>
        <w:jc w:val="both"/>
        <w:rPr>
          <w:rFonts w:eastAsia="Times New Roman" w:cs="Calibri"/>
          <w:color w:val="000000"/>
          <w:lang w:eastAsia="it-IT"/>
        </w:rPr>
      </w:pP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</w:p>
    <w:p w14:paraId="70C9E30B" w14:textId="6CF1A1EF" w:rsidR="000326A1" w:rsidRDefault="000326A1" w:rsidP="000326A1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</w:pP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“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Siamo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soddisfatti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delle integrazioni apportate al testo della legge n. 3/2012 che abbiamo appoggiato con una faticosa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attività di monitoraggio e sostegno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nell’interesse della collettività 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dei più deboli”, afferma il presidente del Consiglio nazionale,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Massimo Miani.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“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Le proposte di modifica alla legge” aggiunge, “finalizzate di fatto ad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anticipare le disposizioni del Codice della Crisi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, se applicate senza attendere il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1° settembre 2021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- data di entrata in vigore del richiamato Codice - possono fornire ai soggetti in stato di </w:t>
      </w:r>
      <w:proofErr w:type="spellStart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un </w:t>
      </w:r>
      <w:r w:rsidRPr="000A7C8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valido strumento per uscire dallo stato di crisi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e sono tanto più condivisibili nell’attuale </w:t>
      </w:r>
      <w:r w:rsidRPr="000A7C8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stato di emergenza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, ove le crisi delle imprese minori e delle famiglie e, conseguentemente, le richieste di accesso ai procedimenti previsti nella legge per porvi rimedio </w:t>
      </w:r>
      <w:r w:rsidRPr="000A7C82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cresceranno in modo esponenziale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”. </w:t>
      </w:r>
    </w:p>
    <w:p w14:paraId="0C1814A9" w14:textId="77777777" w:rsidR="000326A1" w:rsidRPr="00963056" w:rsidRDefault="000326A1" w:rsidP="000326A1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it-IT"/>
        </w:rPr>
      </w:pPr>
    </w:p>
    <w:p w14:paraId="12DD4E05" w14:textId="77777777" w:rsidR="000326A1" w:rsidRDefault="000326A1" w:rsidP="000326A1">
      <w:pPr>
        <w:shd w:val="clear" w:color="auto" w:fill="FFFFFF"/>
        <w:spacing w:after="0" w:line="253" w:lineRule="atLeast"/>
        <w:jc w:val="both"/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</w:pP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“Come Consiglio nazionale”, spiega la consigliera nazionale delegata alle Funzioni Giudiziarie e metodi ADR,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Valeria Giancola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, “abbiamo più volte rimarcato 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come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, a distanza di diversi anni dall’entrata in vigore della legge n. 3/2012 e del successivo </w:t>
      </w:r>
      <w:proofErr w:type="spellStart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d.m.</w:t>
      </w:r>
      <w:proofErr w:type="spellEnd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n. 202/2014, i procedimenti di composizione della crisi da </w:t>
      </w:r>
      <w:proofErr w:type="spellStart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abbiano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faticato a decollare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, anche a causa di numerose 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incongruenze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della disciplina vigente. L’attuale momento caratterizzato dalla grave crisi provocata dalla Pandemia di </w:t>
      </w:r>
      <w:proofErr w:type="spellStart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Covid</w:t>
      </w:r>
      <w:proofErr w:type="spellEnd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- 19 ha accentuato le criticità della legge, specie i suoi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farraginosi procedimenti 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già poco adatti a risolvere tempestivamente le crisi di consumatori e imprenditori non fallibili. Le misure emergenziali varate con la legislazione d’urgenza, poi, hanno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pressoché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trascurato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il </w:t>
      </w:r>
      <w:proofErr w:type="spellStart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sovraindebitamento</w:t>
      </w:r>
      <w:proofErr w:type="spellEnd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fornendo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soluzioni temporanee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unicamente in ordine alle procedure maggiori. In occasione della pubblicazione del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decreto liquidità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, il Consiglio nazionale dei commercialisti si era già fatto carico di tali istanze di semplificazione e rinnovamento della legge, proponendo l’introduzione di una procedura semplificata atta a garantire al </w:t>
      </w:r>
      <w:proofErr w:type="spellStart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sovraindebitato</w:t>
      </w:r>
      <w:proofErr w:type="spellEnd"/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di rinegoziare, sotto l’egida del Giudice, le originarie pattuizioni”. “L’emendamento appena approvato”, è la considerazione di Giancola, “è una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importante risposta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alle nostre richieste di questi mesi”. </w:t>
      </w:r>
    </w:p>
    <w:p w14:paraId="4F06D940" w14:textId="77777777" w:rsidR="000326A1" w:rsidRPr="00963056" w:rsidRDefault="000326A1" w:rsidP="000326A1">
      <w:pPr>
        <w:shd w:val="clear" w:color="auto" w:fill="FFFFFF"/>
        <w:spacing w:after="0" w:line="253" w:lineRule="atLeast"/>
        <w:jc w:val="both"/>
        <w:rPr>
          <w:rFonts w:eastAsia="Times New Roman" w:cs="Calibri"/>
          <w:color w:val="000000"/>
          <w:lang w:eastAsia="it-IT"/>
        </w:rPr>
      </w:pPr>
    </w:p>
    <w:p w14:paraId="5515856E" w14:textId="10B97B5C" w:rsidR="00B3271C" w:rsidRPr="00B42729" w:rsidRDefault="000326A1" w:rsidP="000A7C82">
      <w:pPr>
        <w:shd w:val="clear" w:color="auto" w:fill="FFFFFF"/>
        <w:spacing w:after="0" w:line="253" w:lineRule="atLeast"/>
        <w:jc w:val="both"/>
      </w:pP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La Consigliera nazionale afferma però che “resta aperto un tema sul quale è necessario ancora intervenire: quello dei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compensi degli Organismo di composizione della crisi (OCC)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”. “Non condividiamo”, afferma, “la previsione che 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dimezza, irragionevolmente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, consideratane l’esiguità, il compenso dell’OCC nella procedura di </w:t>
      </w:r>
      <w:proofErr w:type="spellStart"/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esdebitazione</w:t>
      </w:r>
      <w:proofErr w:type="spellEnd"/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del </w:t>
      </w:r>
      <w:proofErr w:type="spellStart"/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sovraindebitato</w:t>
      </w:r>
      <w:proofErr w:type="spellEnd"/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 xml:space="preserve"> incapiente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: abbiamo tentato di modificare il testo dell’emendamento in considerazione dell’importanza e della complessità delle funzioni attribuite all’OCC sin dall’istanza che il debitore presenta presso la sua sede, funzioni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che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,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stando al tenore letterale del Codice della crisi, non mutano per il sol fatto che il debitore sia incapiente”. Ai commercialisti “non appare soddisfacente infine l’intera</w:t>
      </w:r>
      <w:r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 xml:space="preserve"> </w:t>
      </w:r>
      <w:r w:rsidRPr="00963056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it-IT"/>
        </w:rPr>
        <w:t>disciplina dei compensi prevista nel Codice della Crisi</w:t>
      </w:r>
      <w:r w:rsidRPr="00963056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, dal momento che la percezione del compenso viene condizionata alla integrale e corretta esecuzione del piano da parte dell’OCC e ancorata a una valutazione del giudice in ordine alla diligenza prestata dallo stesso OCC che, in tal modo, resterà vincolato a vigilare sull’esecuzione del piano per tutta la durata programmata, e dunque, in non rari casi, per molti anni”</w:t>
      </w:r>
      <w:r w:rsidR="000A7C82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  <w:lang w:eastAsia="it-IT"/>
        </w:rPr>
        <w:t>.</w:t>
      </w:r>
    </w:p>
    <w:sectPr w:rsidR="00B3271C" w:rsidRPr="00B42729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E2848E" w14:textId="77777777" w:rsidR="00AB290C" w:rsidRDefault="00AB290C" w:rsidP="00627996">
      <w:r>
        <w:separator/>
      </w:r>
    </w:p>
  </w:endnote>
  <w:endnote w:type="continuationSeparator" w:id="0">
    <w:p w14:paraId="73FB99A7" w14:textId="77777777" w:rsidR="00AB290C" w:rsidRDefault="00AB290C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40973D" w14:textId="77777777" w:rsidR="00AB290C" w:rsidRDefault="00AB290C" w:rsidP="00627996">
      <w:r>
        <w:separator/>
      </w:r>
    </w:p>
  </w:footnote>
  <w:footnote w:type="continuationSeparator" w:id="0">
    <w:p w14:paraId="0DD29106" w14:textId="77777777" w:rsidR="00AB290C" w:rsidRDefault="00AB290C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69E16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3A86741C" wp14:editId="5321327C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2"/>
  <w:doNotDisplayPageBoundaries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326A1"/>
    <w:rsid w:val="000A6A00"/>
    <w:rsid w:val="000A7C82"/>
    <w:rsid w:val="001B3759"/>
    <w:rsid w:val="001D0C92"/>
    <w:rsid w:val="00206248"/>
    <w:rsid w:val="00237BEE"/>
    <w:rsid w:val="002B1170"/>
    <w:rsid w:val="002B1507"/>
    <w:rsid w:val="002E31F2"/>
    <w:rsid w:val="003248FA"/>
    <w:rsid w:val="003C2FC0"/>
    <w:rsid w:val="00595991"/>
    <w:rsid w:val="00627996"/>
    <w:rsid w:val="00656CC5"/>
    <w:rsid w:val="006D1127"/>
    <w:rsid w:val="00734687"/>
    <w:rsid w:val="00986D90"/>
    <w:rsid w:val="009D1104"/>
    <w:rsid w:val="009F27EC"/>
    <w:rsid w:val="00A0254E"/>
    <w:rsid w:val="00A13F85"/>
    <w:rsid w:val="00AB290C"/>
    <w:rsid w:val="00AC6BB0"/>
    <w:rsid w:val="00B42729"/>
    <w:rsid w:val="00BE1C51"/>
    <w:rsid w:val="00D0285A"/>
    <w:rsid w:val="00D41E98"/>
    <w:rsid w:val="00DB4B99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1C9F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2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Parracino Mauro</cp:lastModifiedBy>
  <cp:revision>3</cp:revision>
  <dcterms:created xsi:type="dcterms:W3CDTF">2020-12-16T08:30:00Z</dcterms:created>
  <dcterms:modified xsi:type="dcterms:W3CDTF">2020-12-16T11:29:00Z</dcterms:modified>
</cp:coreProperties>
</file>