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7FCE5" w14:textId="5C520F0E" w:rsidR="00C82BAE" w:rsidRPr="00BD5FED" w:rsidRDefault="00C82BAE" w:rsidP="00BD5FED">
      <w:pPr>
        <w:pStyle w:val="xxp1"/>
        <w:shd w:val="clear" w:color="auto" w:fill="FFFFFF"/>
        <w:jc w:val="both"/>
        <w:rPr>
          <w:rFonts w:ascii="Arial" w:hAnsi="Arial" w:cs="Arial"/>
          <w:sz w:val="24"/>
          <w:szCs w:val="24"/>
        </w:rPr>
      </w:pPr>
      <w:r w:rsidRPr="00BD5FED">
        <w:rPr>
          <w:rFonts w:ascii="Arial" w:hAnsi="Arial" w:cs="Arial"/>
          <w:sz w:val="24"/>
          <w:szCs w:val="24"/>
        </w:rPr>
        <w:t xml:space="preserve">Comunicato </w:t>
      </w:r>
      <w:r w:rsidR="001F54D4">
        <w:rPr>
          <w:rFonts w:ascii="Arial" w:hAnsi="Arial" w:cs="Arial"/>
          <w:sz w:val="24"/>
          <w:szCs w:val="24"/>
        </w:rPr>
        <w:t>s</w:t>
      </w:r>
      <w:r w:rsidRPr="00BD5FED">
        <w:rPr>
          <w:rFonts w:ascii="Arial" w:hAnsi="Arial" w:cs="Arial"/>
          <w:sz w:val="24"/>
          <w:szCs w:val="24"/>
        </w:rPr>
        <w:t>tampa</w:t>
      </w:r>
    </w:p>
    <w:p w14:paraId="3023F692" w14:textId="77777777" w:rsidR="00C82BAE" w:rsidRPr="00BD5FED" w:rsidRDefault="00C82BAE" w:rsidP="00BD5FED">
      <w:pPr>
        <w:pStyle w:val="xxp1"/>
        <w:shd w:val="clear" w:color="auto" w:fill="FFFFFF"/>
        <w:jc w:val="both"/>
        <w:rPr>
          <w:rFonts w:ascii="Arial" w:hAnsi="Arial" w:cs="Arial"/>
          <w:b/>
          <w:bCs/>
          <w:sz w:val="24"/>
          <w:szCs w:val="24"/>
        </w:rPr>
      </w:pPr>
    </w:p>
    <w:p w14:paraId="5911DB53" w14:textId="7211223D" w:rsidR="00BD5FED" w:rsidRPr="00BD5FED" w:rsidRDefault="00BD5FED" w:rsidP="00BD5FED">
      <w:pPr>
        <w:pStyle w:val="p2"/>
        <w:shd w:val="clear" w:color="auto" w:fill="FFFFFF"/>
        <w:jc w:val="both"/>
        <w:rPr>
          <w:rFonts w:ascii="Arial" w:hAnsi="Arial" w:cs="Arial"/>
          <w:sz w:val="24"/>
          <w:szCs w:val="24"/>
        </w:rPr>
      </w:pPr>
      <w:r w:rsidRPr="00BD5FED">
        <w:rPr>
          <w:rFonts w:ascii="Arial" w:hAnsi="Arial" w:cs="Arial"/>
          <w:b/>
          <w:bCs/>
          <w:sz w:val="24"/>
          <w:szCs w:val="24"/>
        </w:rPr>
        <w:t>COMMERCIALISTI: FOCUS SUL PROSSIMO BILANCIO UE A LUNGO TERMINE E SU NEXTGENERATIONEU</w:t>
      </w:r>
    </w:p>
    <w:p w14:paraId="36B2DC88" w14:textId="09A09F6F" w:rsidR="00BD5FED" w:rsidRPr="00BD5FED" w:rsidRDefault="00BD5FED" w:rsidP="00BD5FED">
      <w:pPr>
        <w:pStyle w:val="p5"/>
        <w:jc w:val="both"/>
        <w:rPr>
          <w:rFonts w:ascii="Arial" w:hAnsi="Arial" w:cs="Arial"/>
          <w:b/>
          <w:bCs/>
          <w:sz w:val="24"/>
          <w:szCs w:val="24"/>
        </w:rPr>
      </w:pPr>
      <w:bookmarkStart w:id="0" w:name="_GoBack"/>
      <w:r w:rsidRPr="00BD5FED">
        <w:rPr>
          <w:rFonts w:ascii="Arial" w:hAnsi="Arial" w:cs="Arial"/>
          <w:b/>
          <w:bCs/>
          <w:sz w:val="24"/>
          <w:szCs w:val="24"/>
          <w:shd w:val="clear" w:color="auto" w:fill="FBFAF9"/>
        </w:rPr>
        <w:t>Nell</w:t>
      </w:r>
      <w:r w:rsidRPr="00BD5FED">
        <w:rPr>
          <w:rFonts w:ascii="Arial" w:hAnsi="Arial" w:cs="Arial"/>
          <w:b/>
          <w:bCs/>
          <w:sz w:val="24"/>
          <w:szCs w:val="24"/>
          <w:shd w:val="clear" w:color="auto" w:fill="FBFAF9"/>
        </w:rPr>
        <w:t>’</w:t>
      </w:r>
      <w:r w:rsidRPr="00BD5FED">
        <w:rPr>
          <w:rFonts w:ascii="Arial" w:hAnsi="Arial" w:cs="Arial"/>
          <w:b/>
          <w:bCs/>
          <w:sz w:val="24"/>
          <w:szCs w:val="24"/>
          <w:shd w:val="clear" w:color="auto" w:fill="FBFAF9"/>
        </w:rPr>
        <w:t>informativa "Attività Internazionale" l'istituzione da parte dell'ECOFIN di un'autorità di vigilanza per prevenire riciclaggio di denaro e finanziamento del terrorismo</w:t>
      </w:r>
    </w:p>
    <w:bookmarkEnd w:id="0"/>
    <w:p w14:paraId="06C32C7E" w14:textId="77777777" w:rsidR="00BD5FED" w:rsidRPr="00BD5FED" w:rsidRDefault="00BD5FED" w:rsidP="00BD5FED">
      <w:pPr>
        <w:pStyle w:val="p1"/>
        <w:shd w:val="clear" w:color="auto" w:fill="FFFFFF"/>
        <w:jc w:val="both"/>
        <w:rPr>
          <w:rFonts w:ascii="Arial" w:hAnsi="Arial" w:cs="Arial"/>
          <w:sz w:val="24"/>
          <w:szCs w:val="24"/>
        </w:rPr>
      </w:pPr>
      <w:r w:rsidRPr="00BD5FED">
        <w:rPr>
          <w:rFonts w:ascii="Arial" w:hAnsi="Arial" w:cs="Arial"/>
          <w:sz w:val="24"/>
          <w:szCs w:val="24"/>
        </w:rPr>
        <w:t> </w:t>
      </w:r>
    </w:p>
    <w:p w14:paraId="7575909B" w14:textId="58B8EC61" w:rsidR="00BD5FED" w:rsidRPr="00BD5FED" w:rsidRDefault="00BD5FED" w:rsidP="00BD5FED">
      <w:pPr>
        <w:pStyle w:val="NormaleWeb"/>
        <w:shd w:val="clear" w:color="auto" w:fill="FFFFFF"/>
        <w:spacing w:before="0" w:beforeAutospacing="0" w:after="0" w:afterAutospacing="0"/>
        <w:jc w:val="both"/>
        <w:textAlignment w:val="baseline"/>
        <w:rPr>
          <w:rFonts w:ascii="Arial" w:hAnsi="Arial" w:cs="Arial"/>
        </w:rPr>
      </w:pPr>
      <w:r w:rsidRPr="00BD5FED">
        <w:rPr>
          <w:rFonts w:ascii="Arial" w:hAnsi="Arial" w:cs="Arial"/>
          <w:i/>
          <w:iCs/>
        </w:rPr>
        <w:t>Roma</w:t>
      </w:r>
      <w:r w:rsidRPr="00BD5FED">
        <w:rPr>
          <w:rFonts w:ascii="Arial" w:hAnsi="Arial" w:cs="Arial"/>
          <w:i/>
          <w:iCs/>
        </w:rPr>
        <w:t>,</w:t>
      </w:r>
      <w:r w:rsidRPr="00BD5FED">
        <w:rPr>
          <w:rFonts w:ascii="Arial" w:hAnsi="Arial" w:cs="Arial"/>
          <w:i/>
          <w:iCs/>
        </w:rPr>
        <w:t xml:space="preserve"> 16 novembre</w:t>
      </w:r>
      <w:r w:rsidRPr="00BD5FED">
        <w:rPr>
          <w:rStyle w:val="apple-converted-space"/>
          <w:rFonts w:ascii="Arial" w:hAnsi="Arial" w:cs="Arial"/>
          <w:i/>
          <w:iCs/>
        </w:rPr>
        <w:t xml:space="preserve"> </w:t>
      </w:r>
      <w:r w:rsidRPr="00BD5FED">
        <w:rPr>
          <w:rFonts w:ascii="Arial" w:hAnsi="Arial" w:cs="Arial"/>
          <w:i/>
          <w:iCs/>
        </w:rPr>
        <w:t>2020</w:t>
      </w:r>
      <w:r w:rsidRPr="00BD5FED">
        <w:rPr>
          <w:rFonts w:ascii="Arial" w:hAnsi="Arial" w:cs="Arial"/>
        </w:rPr>
        <w:t xml:space="preserve"> – </w:t>
      </w:r>
      <w:r w:rsidRPr="00BD5FED">
        <w:rPr>
          <w:rFonts w:ascii="Arial" w:hAnsi="Arial" w:cs="Arial"/>
        </w:rPr>
        <w:t>Il Consiglio e la Fondazione nazionali dei commercialisti hanno pubblicato l’informativa periodica dedicata all’Attività Internazionale “Covid-19: International update n. 18”, che analizza le misure economiche adottate in ambito europeo e internazionale per contrastare la pandemia.</w:t>
      </w:r>
    </w:p>
    <w:p w14:paraId="495134A8" w14:textId="77777777" w:rsidR="00BD5FED" w:rsidRPr="00BD5FED" w:rsidRDefault="00BD5FED" w:rsidP="00BD5FED">
      <w:pPr>
        <w:pStyle w:val="NormaleWeb"/>
        <w:shd w:val="clear" w:color="auto" w:fill="FFFFFF"/>
        <w:spacing w:before="0" w:beforeAutospacing="0" w:after="0" w:afterAutospacing="0"/>
        <w:jc w:val="both"/>
        <w:textAlignment w:val="baseline"/>
        <w:rPr>
          <w:rFonts w:ascii="Arial" w:hAnsi="Arial" w:cs="Arial"/>
        </w:rPr>
      </w:pPr>
    </w:p>
    <w:p w14:paraId="3A397D7A" w14:textId="77777777" w:rsidR="00BD5FED" w:rsidRPr="00BD5FED" w:rsidRDefault="00BD5FED" w:rsidP="00BD5FED">
      <w:pPr>
        <w:shd w:val="clear" w:color="auto" w:fill="FFFFFF"/>
        <w:jc w:val="both"/>
        <w:textAlignment w:val="baseline"/>
        <w:rPr>
          <w:rFonts w:ascii="Arial" w:eastAsia="Times New Roman" w:hAnsi="Arial" w:cs="Arial"/>
          <w:lang w:eastAsia="it-IT"/>
        </w:rPr>
      </w:pPr>
      <w:r w:rsidRPr="00BD5FED">
        <w:rPr>
          <w:rFonts w:ascii="Arial" w:eastAsia="Times New Roman" w:hAnsi="Arial" w:cs="Arial"/>
          <w:lang w:eastAsia="it-IT"/>
        </w:rPr>
        <w:t>Mentre l’esito delle elezioni americane induce l’Europa a ritenere possibile una rinnovata </w:t>
      </w:r>
      <w:r w:rsidRPr="00BD5FED">
        <w:rPr>
          <w:rFonts w:ascii="Arial" w:eastAsia="Times New Roman" w:hAnsi="Arial" w:cs="Arial"/>
          <w:i/>
          <w:iCs/>
          <w:bdr w:val="none" w:sz="0" w:space="0" w:color="auto" w:frame="1"/>
          <w:lang w:eastAsia="it-IT"/>
        </w:rPr>
        <w:t>partnership </w:t>
      </w:r>
      <w:r w:rsidRPr="00BD5FED">
        <w:rPr>
          <w:rFonts w:ascii="Arial" w:eastAsia="Times New Roman" w:hAnsi="Arial" w:cs="Arial"/>
          <w:lang w:eastAsia="it-IT"/>
        </w:rPr>
        <w:t>tra UE e Stati Uniti, pur tenendo conto delle attuali rispettive posizioni su temi fondamentali come clima, emergenza COVID-19 e commercio internazionale, il </w:t>
      </w:r>
      <w:r w:rsidRPr="00BD5FED">
        <w:rPr>
          <w:rFonts w:ascii="Arial" w:eastAsia="Times New Roman" w:hAnsi="Arial" w:cs="Arial"/>
          <w:i/>
          <w:iCs/>
          <w:bdr w:val="none" w:sz="0" w:space="0" w:color="auto" w:frame="1"/>
          <w:lang w:eastAsia="it-IT"/>
        </w:rPr>
        <w:t>virus </w:t>
      </w:r>
      <w:r w:rsidRPr="00BD5FED">
        <w:rPr>
          <w:rFonts w:ascii="Arial" w:eastAsia="Times New Roman" w:hAnsi="Arial" w:cs="Arial"/>
          <w:lang w:eastAsia="it-IT"/>
        </w:rPr>
        <w:t>continua la sua corsa, mettendo a dura prova sistemi sanitari ed economie. L’Unione europea rinnova il suo impegno per sostenere gli uni e le altre.</w:t>
      </w:r>
    </w:p>
    <w:p w14:paraId="6D9AD816" w14:textId="77777777" w:rsidR="00BD5FED" w:rsidRPr="00BD5FED" w:rsidRDefault="00BD5FED" w:rsidP="00BD5FED">
      <w:pPr>
        <w:shd w:val="clear" w:color="auto" w:fill="FFFFFF"/>
        <w:jc w:val="both"/>
        <w:textAlignment w:val="baseline"/>
        <w:rPr>
          <w:rFonts w:ascii="Arial" w:eastAsia="Times New Roman" w:hAnsi="Arial" w:cs="Arial"/>
          <w:lang w:eastAsia="it-IT"/>
        </w:rPr>
      </w:pPr>
    </w:p>
    <w:p w14:paraId="4A8F7761" w14:textId="4B5DEEB1" w:rsidR="00BD5FED" w:rsidRPr="00BD5FED" w:rsidRDefault="00BD5FED" w:rsidP="00BD5FED">
      <w:pPr>
        <w:shd w:val="clear" w:color="auto" w:fill="FFFFFF"/>
        <w:jc w:val="both"/>
        <w:textAlignment w:val="baseline"/>
        <w:rPr>
          <w:rFonts w:ascii="Arial" w:eastAsia="Times New Roman" w:hAnsi="Arial" w:cs="Arial"/>
          <w:lang w:eastAsia="it-IT"/>
        </w:rPr>
      </w:pPr>
      <w:r w:rsidRPr="00BD5FED">
        <w:rPr>
          <w:rFonts w:ascii="Arial" w:eastAsia="Times New Roman" w:hAnsi="Arial" w:cs="Arial"/>
          <w:lang w:eastAsia="it-IT"/>
        </w:rPr>
        <w:t>Tra le novità di queste settimane c’è l’accordo raggiunto in sede di Consiglio tra il Parlamento europeo e gli Stati membri sul prossimo bilancio UE a lungo termine e su </w:t>
      </w:r>
      <w:r w:rsidRPr="00BD5FED">
        <w:rPr>
          <w:rFonts w:ascii="Arial" w:eastAsia="Times New Roman" w:hAnsi="Arial" w:cs="Arial"/>
          <w:i/>
          <w:iCs/>
          <w:bdr w:val="none" w:sz="0" w:space="0" w:color="auto" w:frame="1"/>
          <w:lang w:eastAsia="it-IT"/>
        </w:rPr>
        <w:t>Next Generation EU</w:t>
      </w:r>
      <w:r w:rsidRPr="00BD5FED">
        <w:rPr>
          <w:rFonts w:ascii="Arial" w:eastAsia="Times New Roman" w:hAnsi="Arial" w:cs="Arial"/>
          <w:lang w:eastAsia="it-IT"/>
        </w:rPr>
        <w:t>, il programma per la ripresa che include il </w:t>
      </w:r>
      <w:r w:rsidRPr="00BD5FED">
        <w:rPr>
          <w:rFonts w:ascii="Arial" w:eastAsia="Times New Roman" w:hAnsi="Arial" w:cs="Arial"/>
          <w:i/>
          <w:iCs/>
          <w:bdr w:val="none" w:sz="0" w:space="0" w:color="auto" w:frame="1"/>
          <w:lang w:eastAsia="it-IT"/>
        </w:rPr>
        <w:t>Recovery Fund</w:t>
      </w:r>
      <w:r w:rsidRPr="00BD5FED">
        <w:rPr>
          <w:rFonts w:ascii="Arial" w:eastAsia="Times New Roman" w:hAnsi="Arial" w:cs="Arial"/>
          <w:lang w:eastAsia="it-IT"/>
        </w:rPr>
        <w:t>. Il pacchetto, per complessivi 1.800 miliardi di euro, contribuirà a ricostruire un’Europa più verde, digitale, resiliente e pronta per le sfide presenti e future.</w:t>
      </w:r>
    </w:p>
    <w:p w14:paraId="6082044C" w14:textId="77777777" w:rsidR="00BD5FED" w:rsidRPr="00BD5FED" w:rsidRDefault="00BD5FED" w:rsidP="00BD5FED">
      <w:pPr>
        <w:shd w:val="clear" w:color="auto" w:fill="FFFFFF"/>
        <w:jc w:val="both"/>
        <w:textAlignment w:val="baseline"/>
        <w:rPr>
          <w:rFonts w:ascii="Arial" w:eastAsia="Times New Roman" w:hAnsi="Arial" w:cs="Arial"/>
          <w:lang w:eastAsia="it-IT"/>
        </w:rPr>
      </w:pPr>
    </w:p>
    <w:p w14:paraId="7CE397B4" w14:textId="6860B163" w:rsidR="00BD5FED" w:rsidRPr="00BD5FED" w:rsidRDefault="00BD5FED" w:rsidP="00BD5FED">
      <w:pPr>
        <w:shd w:val="clear" w:color="auto" w:fill="FFFFFF"/>
        <w:jc w:val="both"/>
        <w:textAlignment w:val="baseline"/>
        <w:rPr>
          <w:rFonts w:ascii="Arial" w:eastAsia="Times New Roman" w:hAnsi="Arial" w:cs="Arial"/>
          <w:lang w:eastAsia="it-IT"/>
        </w:rPr>
      </w:pPr>
      <w:r w:rsidRPr="00BD5FED">
        <w:rPr>
          <w:rFonts w:ascii="Arial" w:eastAsia="Times New Roman" w:hAnsi="Arial" w:cs="Arial"/>
          <w:lang w:eastAsia="it-IT"/>
        </w:rPr>
        <w:t xml:space="preserve">Le previsioni economiche d’autunno, pubblicate nei giorni scorsi dalla Commissione, risentono invece del clima di incertezza alimentato dall’aumento dei contagi. La netta ripresa registrata nel periodo estivo con la revoca delle misure di contenimento si è bruscamente interrotta e secondo le stime riprenderà nel 2021, ma saranno necessari ancora due anni prima che l’economia europea torni ad avvicinarsi ai livelli </w:t>
      </w:r>
      <w:proofErr w:type="spellStart"/>
      <w:r w:rsidRPr="00BD5FED">
        <w:rPr>
          <w:rFonts w:ascii="Arial" w:eastAsia="Times New Roman" w:hAnsi="Arial" w:cs="Arial"/>
          <w:lang w:eastAsia="it-IT"/>
        </w:rPr>
        <w:t>pre</w:t>
      </w:r>
      <w:proofErr w:type="spellEnd"/>
      <w:r w:rsidRPr="00BD5FED">
        <w:rPr>
          <w:rFonts w:ascii="Arial" w:eastAsia="Times New Roman" w:hAnsi="Arial" w:cs="Arial"/>
          <w:lang w:eastAsia="it-IT"/>
        </w:rPr>
        <w:t>-pandemici.</w:t>
      </w:r>
    </w:p>
    <w:p w14:paraId="4ABB7DAF" w14:textId="77777777" w:rsidR="00BD5FED" w:rsidRPr="00BD5FED" w:rsidRDefault="00BD5FED" w:rsidP="00BD5FED">
      <w:pPr>
        <w:shd w:val="clear" w:color="auto" w:fill="FFFFFF"/>
        <w:jc w:val="both"/>
        <w:textAlignment w:val="baseline"/>
        <w:rPr>
          <w:rFonts w:ascii="Arial" w:eastAsia="Times New Roman" w:hAnsi="Arial" w:cs="Arial"/>
          <w:lang w:eastAsia="it-IT"/>
        </w:rPr>
      </w:pPr>
    </w:p>
    <w:p w14:paraId="423FE1EE" w14:textId="76EBAF92" w:rsidR="00BD5FED" w:rsidRPr="00BD5FED" w:rsidRDefault="00BD5FED" w:rsidP="00BD5FED">
      <w:pPr>
        <w:shd w:val="clear" w:color="auto" w:fill="FFFFFF"/>
        <w:jc w:val="both"/>
        <w:textAlignment w:val="baseline"/>
        <w:rPr>
          <w:rFonts w:ascii="Arial" w:eastAsia="Times New Roman" w:hAnsi="Arial" w:cs="Arial"/>
          <w:lang w:eastAsia="it-IT"/>
        </w:rPr>
      </w:pPr>
      <w:r w:rsidRPr="00BD5FED">
        <w:rPr>
          <w:rFonts w:ascii="Arial" w:eastAsia="Times New Roman" w:hAnsi="Arial" w:cs="Arial"/>
          <w:lang w:eastAsia="it-IT"/>
        </w:rPr>
        <w:t>Secondo le previsioni economiche di autunno 2020, infatti, l’economia della zona euro subirà una contrazione del 7,8% nel 2020, prima di crescere del 4,2% nel 2021 e del 3% nel 2022. Si prevede inoltre che l’economia della zona euro subirà una contrazione del 7,4% nel 2020, prima di riprendersi con una crescita del 4,1% nel 2021 e del 3% nel 2022. Rispetto alle previsioni economiche dell’estate 2020, le proiezioni di crescita per la zona euro e per l’UE sono leggermente più elevate per il 2020 e inferiori per il 2021. In ogni caso, si prevede che nel 2022 sia il prodotto della zona euro che quello dell’UE non torneranno ai livelli precedenti alla pandemia.</w:t>
      </w:r>
    </w:p>
    <w:p w14:paraId="1EC195A6" w14:textId="77777777" w:rsidR="00BD5FED" w:rsidRPr="00BD5FED" w:rsidRDefault="00BD5FED" w:rsidP="00BD5FED">
      <w:pPr>
        <w:shd w:val="clear" w:color="auto" w:fill="FFFFFF"/>
        <w:jc w:val="both"/>
        <w:textAlignment w:val="baseline"/>
        <w:rPr>
          <w:rFonts w:ascii="Arial" w:eastAsia="Times New Roman" w:hAnsi="Arial" w:cs="Arial"/>
          <w:lang w:eastAsia="it-IT"/>
        </w:rPr>
      </w:pPr>
    </w:p>
    <w:p w14:paraId="27CB45F3" w14:textId="0396D441" w:rsidR="00BD5FED" w:rsidRPr="00BD5FED" w:rsidRDefault="00BD5FED" w:rsidP="00BD5FED">
      <w:pPr>
        <w:shd w:val="clear" w:color="auto" w:fill="FFFFFF"/>
        <w:jc w:val="both"/>
        <w:textAlignment w:val="baseline"/>
        <w:rPr>
          <w:rFonts w:ascii="Arial" w:eastAsia="Times New Roman" w:hAnsi="Arial" w:cs="Arial"/>
          <w:lang w:eastAsia="it-IT"/>
        </w:rPr>
      </w:pPr>
      <w:r w:rsidRPr="00BD5FED">
        <w:rPr>
          <w:rFonts w:ascii="Arial" w:eastAsia="Times New Roman" w:hAnsi="Arial" w:cs="Arial"/>
          <w:lang w:eastAsia="it-IT"/>
        </w:rPr>
        <w:t>Se in estate la ripresa è stata più robusta del previsto, con il risultato di una leggera attenuazione della recessione 2020, le nuove misure restrittive approvate dai governi di tutta Europa porteranno a</w:t>
      </w:r>
      <w:r w:rsidRPr="00BD5FED">
        <w:rPr>
          <w:rFonts w:ascii="Arial" w:eastAsia="Times New Roman" w:hAnsi="Arial" w:cs="Arial"/>
          <w:lang w:eastAsia="it-IT"/>
        </w:rPr>
        <w:t>d</w:t>
      </w:r>
      <w:r w:rsidRPr="00BD5FED">
        <w:rPr>
          <w:rFonts w:ascii="Arial" w:eastAsia="Times New Roman" w:hAnsi="Arial" w:cs="Arial"/>
          <w:lang w:eastAsia="it-IT"/>
        </w:rPr>
        <w:t xml:space="preserve"> un peggioramento dei dati per il prossimo anno. Si allontana quindi sempre di più la possibilità che l’economia dell’Unione, compresa quella italiana, torni ai livelli </w:t>
      </w:r>
      <w:proofErr w:type="spellStart"/>
      <w:r w:rsidRPr="00BD5FED">
        <w:rPr>
          <w:rFonts w:ascii="Arial" w:eastAsia="Times New Roman" w:hAnsi="Arial" w:cs="Arial"/>
          <w:lang w:eastAsia="it-IT"/>
        </w:rPr>
        <w:t>pre</w:t>
      </w:r>
      <w:proofErr w:type="spellEnd"/>
      <w:r w:rsidRPr="00BD5FED">
        <w:rPr>
          <w:rFonts w:ascii="Arial" w:eastAsia="Times New Roman" w:hAnsi="Arial" w:cs="Arial"/>
          <w:lang w:eastAsia="it-IT"/>
        </w:rPr>
        <w:t>-pandemici prima del 2022.</w:t>
      </w:r>
    </w:p>
    <w:p w14:paraId="1F5DDFFC" w14:textId="77777777" w:rsidR="00BD5FED" w:rsidRPr="00BD5FED" w:rsidRDefault="00BD5FED" w:rsidP="00BD5FED">
      <w:pPr>
        <w:shd w:val="clear" w:color="auto" w:fill="FFFFFF"/>
        <w:jc w:val="both"/>
        <w:textAlignment w:val="baseline"/>
        <w:rPr>
          <w:rFonts w:ascii="Arial" w:eastAsia="Times New Roman" w:hAnsi="Arial" w:cs="Arial"/>
          <w:lang w:eastAsia="it-IT"/>
        </w:rPr>
      </w:pPr>
    </w:p>
    <w:p w14:paraId="3C4730A0" w14:textId="6F6698AA" w:rsidR="00BD5FED" w:rsidRPr="00BD5FED" w:rsidRDefault="00BD5FED" w:rsidP="00BD5FED">
      <w:pPr>
        <w:shd w:val="clear" w:color="auto" w:fill="FFFFFF"/>
        <w:jc w:val="both"/>
        <w:textAlignment w:val="baseline"/>
        <w:rPr>
          <w:rFonts w:ascii="Arial" w:eastAsia="Times New Roman" w:hAnsi="Arial" w:cs="Arial"/>
          <w:lang w:eastAsia="it-IT"/>
        </w:rPr>
      </w:pPr>
      <w:r w:rsidRPr="00BD5FED">
        <w:rPr>
          <w:rFonts w:ascii="Arial" w:eastAsia="Times New Roman" w:hAnsi="Arial" w:cs="Arial"/>
          <w:lang w:eastAsia="it-IT"/>
        </w:rPr>
        <w:t>Le previsioni per l’Italia annunciano una recessione del 9,9% nel 2020 rispetto al -11,2% stimato a luglio. Tuttavia</w:t>
      </w:r>
      <w:r w:rsidRPr="00BD5FED">
        <w:rPr>
          <w:rFonts w:ascii="Arial" w:eastAsia="Times New Roman" w:hAnsi="Arial" w:cs="Arial"/>
          <w:lang w:eastAsia="it-IT"/>
        </w:rPr>
        <w:t>,</w:t>
      </w:r>
      <w:r w:rsidRPr="00BD5FED">
        <w:rPr>
          <w:rFonts w:ascii="Arial" w:eastAsia="Times New Roman" w:hAnsi="Arial" w:cs="Arial"/>
          <w:lang w:eastAsia="it-IT"/>
        </w:rPr>
        <w:t xml:space="preserve"> il prossimo anno la ripartenza sarà del 4,1% anziché del 6,1%. </w:t>
      </w:r>
      <w:r w:rsidRPr="00BD5FED">
        <w:rPr>
          <w:rFonts w:ascii="Arial" w:eastAsia="Times New Roman" w:hAnsi="Arial" w:cs="Arial"/>
          <w:lang w:eastAsia="it-IT"/>
        </w:rPr>
        <w:lastRenderedPageBreak/>
        <w:t xml:space="preserve">Dati che, secondo Bruxelles, nel 2021 faranno salire la disoccupazione all’11,6% e non permetteranno al Paese di tornare a livelli </w:t>
      </w:r>
      <w:proofErr w:type="spellStart"/>
      <w:r w:rsidRPr="00BD5FED">
        <w:rPr>
          <w:rFonts w:ascii="Arial" w:eastAsia="Times New Roman" w:hAnsi="Arial" w:cs="Arial"/>
          <w:lang w:eastAsia="it-IT"/>
        </w:rPr>
        <w:t>pre-covid</w:t>
      </w:r>
      <w:proofErr w:type="spellEnd"/>
      <w:r w:rsidRPr="00BD5FED">
        <w:rPr>
          <w:rFonts w:ascii="Arial" w:eastAsia="Times New Roman" w:hAnsi="Arial" w:cs="Arial"/>
          <w:lang w:eastAsia="it-IT"/>
        </w:rPr>
        <w:t xml:space="preserve"> entro la fine del 2022.</w:t>
      </w:r>
    </w:p>
    <w:p w14:paraId="4C59F6F1" w14:textId="77777777" w:rsidR="00BD5FED" w:rsidRPr="00BD5FED" w:rsidRDefault="00BD5FED" w:rsidP="00BD5FED">
      <w:pPr>
        <w:shd w:val="clear" w:color="auto" w:fill="FFFFFF"/>
        <w:jc w:val="both"/>
        <w:textAlignment w:val="baseline"/>
        <w:rPr>
          <w:rFonts w:ascii="Arial" w:eastAsia="Times New Roman" w:hAnsi="Arial" w:cs="Arial"/>
          <w:lang w:eastAsia="it-IT"/>
        </w:rPr>
      </w:pPr>
    </w:p>
    <w:p w14:paraId="1221508E" w14:textId="4DFBB4F5" w:rsidR="00BD5FED" w:rsidRPr="00BD5FED" w:rsidRDefault="00BD5FED" w:rsidP="00BD5FED">
      <w:pPr>
        <w:shd w:val="clear" w:color="auto" w:fill="FFFFFF"/>
        <w:jc w:val="both"/>
        <w:textAlignment w:val="baseline"/>
        <w:rPr>
          <w:rFonts w:ascii="Arial" w:eastAsia="Times New Roman" w:hAnsi="Arial" w:cs="Arial"/>
          <w:lang w:eastAsia="it-IT"/>
        </w:rPr>
      </w:pPr>
      <w:r w:rsidRPr="00BD5FED">
        <w:rPr>
          <w:rFonts w:ascii="Arial" w:eastAsia="Times New Roman" w:hAnsi="Arial" w:cs="Arial"/>
          <w:lang w:eastAsia="it-IT"/>
        </w:rPr>
        <w:t>Il Consiglio ECOFIN ha approvato il Piano d’azione per una politica integrata dell’Unione in materia di prevenzione del riciclaggio di denaro e del finanziamento del terrorismo attraverso l’istituzione di un’autorità di vigilanza europea, che avrà poteri di intervento diretto, ma potrà anche sostituirsi alle autorità nazionali in situazioni chiaramente definite ed eccezionali.</w:t>
      </w:r>
    </w:p>
    <w:p w14:paraId="2714D768" w14:textId="77777777" w:rsidR="00BD5FED" w:rsidRPr="00BD5FED" w:rsidRDefault="00BD5FED" w:rsidP="00BD5FED">
      <w:pPr>
        <w:shd w:val="clear" w:color="auto" w:fill="FFFFFF"/>
        <w:jc w:val="both"/>
        <w:textAlignment w:val="baseline"/>
        <w:rPr>
          <w:rFonts w:ascii="Arial" w:eastAsia="Times New Roman" w:hAnsi="Arial" w:cs="Arial"/>
          <w:lang w:eastAsia="it-IT"/>
        </w:rPr>
      </w:pPr>
    </w:p>
    <w:p w14:paraId="231C16AD" w14:textId="32635085" w:rsidR="00BD5FED" w:rsidRPr="00BD5FED" w:rsidRDefault="00BD5FED" w:rsidP="00BD5FED">
      <w:pPr>
        <w:shd w:val="clear" w:color="auto" w:fill="FFFFFF"/>
        <w:jc w:val="both"/>
        <w:textAlignment w:val="baseline"/>
        <w:rPr>
          <w:rFonts w:ascii="Arial" w:eastAsia="Times New Roman" w:hAnsi="Arial" w:cs="Arial"/>
          <w:lang w:eastAsia="it-IT"/>
        </w:rPr>
      </w:pPr>
      <w:r w:rsidRPr="00BD5FED">
        <w:rPr>
          <w:rFonts w:ascii="Arial" w:eastAsia="Times New Roman" w:hAnsi="Arial" w:cs="Arial"/>
          <w:lang w:eastAsia="it-IT"/>
        </w:rPr>
        <w:t>Infine, il Fondo Monetario Internazionale ha pubblicato i risultati del sondaggio annuale Financial </w:t>
      </w:r>
      <w:r w:rsidRPr="00BD5FED">
        <w:rPr>
          <w:rFonts w:ascii="Arial" w:eastAsia="Times New Roman" w:hAnsi="Arial" w:cs="Arial"/>
          <w:i/>
          <w:iCs/>
          <w:bdr w:val="none" w:sz="0" w:space="0" w:color="auto" w:frame="1"/>
          <w:lang w:eastAsia="it-IT"/>
        </w:rPr>
        <w:t>Access Survey </w:t>
      </w:r>
      <w:r w:rsidRPr="00BD5FED">
        <w:rPr>
          <w:rFonts w:ascii="Arial" w:eastAsia="Times New Roman" w:hAnsi="Arial" w:cs="Arial"/>
          <w:lang w:eastAsia="it-IT"/>
        </w:rPr>
        <w:t>(FAS) sull’accessibilità e sull’utilizzo dei servizi finanziari. Nonostante i progressi registrati, gli indicatori mostrano che numerose sfide rimangono ancora aperte, tra queste quella per le PMI, in favore delle quali l’attività di prestito rimane ancora troppo limitata.</w:t>
      </w:r>
    </w:p>
    <w:p w14:paraId="27DFA960" w14:textId="77777777" w:rsidR="00BD5FED" w:rsidRPr="00BD5FED" w:rsidRDefault="00BD5FED" w:rsidP="00BD5FED">
      <w:pPr>
        <w:shd w:val="clear" w:color="auto" w:fill="FFFFFF"/>
        <w:jc w:val="both"/>
        <w:textAlignment w:val="baseline"/>
        <w:rPr>
          <w:rFonts w:ascii="Arial" w:eastAsia="Times New Roman" w:hAnsi="Arial" w:cs="Arial"/>
          <w:lang w:eastAsia="it-IT"/>
        </w:rPr>
      </w:pPr>
    </w:p>
    <w:p w14:paraId="079EC271" w14:textId="6598897F" w:rsidR="00BD5FED" w:rsidRPr="00BD5FED" w:rsidRDefault="00BD5FED" w:rsidP="00BD5FED">
      <w:pPr>
        <w:shd w:val="clear" w:color="auto" w:fill="FFFFFF"/>
        <w:jc w:val="both"/>
        <w:textAlignment w:val="baseline"/>
        <w:rPr>
          <w:rFonts w:ascii="Arial" w:eastAsia="Times New Roman" w:hAnsi="Arial" w:cs="Arial"/>
          <w:color w:val="333333"/>
          <w:lang w:eastAsia="it-IT"/>
        </w:rPr>
      </w:pPr>
      <w:r w:rsidRPr="00BD5FED">
        <w:rPr>
          <w:rFonts w:ascii="Arial" w:eastAsia="Times New Roman" w:hAnsi="Arial" w:cs="Arial"/>
          <w:lang w:eastAsia="it-IT"/>
        </w:rPr>
        <w:t>Chiude l’informativa una sezione dedicata agli appuntamenti convegnistici e formativi. Tra questi, la</w:t>
      </w:r>
      <w:hyperlink r:id="rId6" w:history="1">
        <w:r w:rsidRPr="00BD5FED">
          <w:rPr>
            <w:rFonts w:ascii="Arial" w:eastAsia="Times New Roman" w:hAnsi="Arial" w:cs="Arial"/>
            <w:color w:val="F7323F"/>
            <w:u w:val="single"/>
            <w:bdr w:val="none" w:sz="0" w:space="0" w:color="auto" w:frame="1"/>
            <w:lang w:eastAsia="it-IT"/>
          </w:rPr>
          <w:t> 13^ Conferenza europea della CFE</w:t>
        </w:r>
      </w:hyperlink>
      <w:r w:rsidRPr="00BD5FED">
        <w:rPr>
          <w:rFonts w:ascii="Arial" w:eastAsia="Times New Roman" w:hAnsi="Arial" w:cs="Arial"/>
          <w:color w:val="333333"/>
          <w:lang w:eastAsia="it-IT"/>
        </w:rPr>
        <w:t> </w:t>
      </w:r>
      <w:r w:rsidRPr="00BD5FED">
        <w:rPr>
          <w:rFonts w:ascii="Arial" w:eastAsia="Times New Roman" w:hAnsi="Arial" w:cs="Arial"/>
          <w:lang w:eastAsia="it-IT"/>
        </w:rPr>
        <w:t>dedicata alla professione dei consulenti fiscali, dal titolo “</w:t>
      </w:r>
      <w:proofErr w:type="spellStart"/>
      <w:r w:rsidRPr="00BD5FED">
        <w:rPr>
          <w:rFonts w:ascii="Arial" w:eastAsia="Times New Roman" w:hAnsi="Arial" w:cs="Arial"/>
          <w:i/>
          <w:iCs/>
          <w:bdr w:val="none" w:sz="0" w:space="0" w:color="auto" w:frame="1"/>
          <w:lang w:eastAsia="it-IT"/>
        </w:rPr>
        <w:t>Taxpayer</w:t>
      </w:r>
      <w:proofErr w:type="spellEnd"/>
      <w:r w:rsidRPr="00BD5FED">
        <w:rPr>
          <w:rFonts w:ascii="Arial" w:eastAsia="Times New Roman" w:hAnsi="Arial" w:cs="Arial"/>
          <w:i/>
          <w:iCs/>
          <w:bdr w:val="none" w:sz="0" w:space="0" w:color="auto" w:frame="1"/>
          <w:lang w:eastAsia="it-IT"/>
        </w:rPr>
        <w:t xml:space="preserve"> </w:t>
      </w:r>
      <w:proofErr w:type="spellStart"/>
      <w:r w:rsidRPr="00BD5FED">
        <w:rPr>
          <w:rFonts w:ascii="Arial" w:eastAsia="Times New Roman" w:hAnsi="Arial" w:cs="Arial"/>
          <w:i/>
          <w:iCs/>
          <w:bdr w:val="none" w:sz="0" w:space="0" w:color="auto" w:frame="1"/>
          <w:lang w:eastAsia="it-IT"/>
        </w:rPr>
        <w:t>Rights</w:t>
      </w:r>
      <w:proofErr w:type="spellEnd"/>
      <w:r w:rsidRPr="00BD5FED">
        <w:rPr>
          <w:rFonts w:ascii="Arial" w:eastAsia="Times New Roman" w:hAnsi="Arial" w:cs="Arial"/>
          <w:i/>
          <w:iCs/>
          <w:bdr w:val="none" w:sz="0" w:space="0" w:color="auto" w:frame="1"/>
          <w:lang w:eastAsia="it-IT"/>
        </w:rPr>
        <w:t xml:space="preserve"> and Legal </w:t>
      </w:r>
      <w:proofErr w:type="spellStart"/>
      <w:r w:rsidRPr="00BD5FED">
        <w:rPr>
          <w:rFonts w:ascii="Arial" w:eastAsia="Times New Roman" w:hAnsi="Arial" w:cs="Arial"/>
          <w:i/>
          <w:iCs/>
          <w:bdr w:val="none" w:sz="0" w:space="0" w:color="auto" w:frame="1"/>
          <w:lang w:eastAsia="it-IT"/>
        </w:rPr>
        <w:t>Certainty</w:t>
      </w:r>
      <w:proofErr w:type="spellEnd"/>
      <w:r w:rsidRPr="00BD5FED">
        <w:rPr>
          <w:rFonts w:ascii="Arial" w:eastAsia="Times New Roman" w:hAnsi="Arial" w:cs="Arial"/>
          <w:i/>
          <w:iCs/>
          <w:bdr w:val="none" w:sz="0" w:space="0" w:color="auto" w:frame="1"/>
          <w:lang w:eastAsia="it-IT"/>
        </w:rPr>
        <w:t xml:space="preserve"> in the Digital Era”</w:t>
      </w:r>
      <w:r w:rsidRPr="00BD5FED">
        <w:rPr>
          <w:rFonts w:ascii="Arial" w:eastAsia="Times New Roman" w:hAnsi="Arial" w:cs="Arial"/>
          <w:lang w:eastAsia="it-IT"/>
        </w:rPr>
        <w:t> (Diritti dei contribuenti e certezza del diritto nell’era del digitale); il summit virtuale dal titolo “T</w:t>
      </w:r>
      <w:r w:rsidRPr="00BD5FED">
        <w:rPr>
          <w:rFonts w:ascii="Arial" w:eastAsia="Times New Roman" w:hAnsi="Arial" w:cs="Arial"/>
          <w:i/>
          <w:iCs/>
          <w:bdr w:val="none" w:sz="0" w:space="0" w:color="auto" w:frame="1"/>
          <w:lang w:eastAsia="it-IT"/>
        </w:rPr>
        <w:t xml:space="preserve">he </w:t>
      </w:r>
      <w:proofErr w:type="spellStart"/>
      <w:r w:rsidRPr="00BD5FED">
        <w:rPr>
          <w:rFonts w:ascii="Arial" w:eastAsia="Times New Roman" w:hAnsi="Arial" w:cs="Arial"/>
          <w:i/>
          <w:iCs/>
          <w:bdr w:val="none" w:sz="0" w:space="0" w:color="auto" w:frame="1"/>
          <w:lang w:eastAsia="it-IT"/>
        </w:rPr>
        <w:t>Anticipatory</w:t>
      </w:r>
      <w:proofErr w:type="spellEnd"/>
      <w:r w:rsidRPr="00BD5FED">
        <w:rPr>
          <w:rFonts w:ascii="Arial" w:eastAsia="Times New Roman" w:hAnsi="Arial" w:cs="Arial"/>
          <w:i/>
          <w:iCs/>
          <w:bdr w:val="none" w:sz="0" w:space="0" w:color="auto" w:frame="1"/>
          <w:lang w:eastAsia="it-IT"/>
        </w:rPr>
        <w:t xml:space="preserve"> </w:t>
      </w:r>
      <w:proofErr w:type="spellStart"/>
      <w:r w:rsidRPr="00BD5FED">
        <w:rPr>
          <w:rFonts w:ascii="Arial" w:eastAsia="Times New Roman" w:hAnsi="Arial" w:cs="Arial"/>
          <w:i/>
          <w:iCs/>
          <w:bdr w:val="none" w:sz="0" w:space="0" w:color="auto" w:frame="1"/>
          <w:lang w:eastAsia="it-IT"/>
        </w:rPr>
        <w:t>Accountant</w:t>
      </w:r>
      <w:proofErr w:type="spellEnd"/>
      <w:r w:rsidRPr="00BD5FED">
        <w:rPr>
          <w:rFonts w:ascii="Arial" w:eastAsia="Times New Roman" w:hAnsi="Arial" w:cs="Arial"/>
          <w:i/>
          <w:iCs/>
          <w:bdr w:val="none" w:sz="0" w:space="0" w:color="auto" w:frame="1"/>
          <w:lang w:eastAsia="it-IT"/>
        </w:rPr>
        <w:t xml:space="preserve">: Global Trends </w:t>
      </w:r>
      <w:proofErr w:type="spellStart"/>
      <w:r w:rsidRPr="00BD5FED">
        <w:rPr>
          <w:rFonts w:ascii="Arial" w:eastAsia="Times New Roman" w:hAnsi="Arial" w:cs="Arial"/>
          <w:i/>
          <w:iCs/>
          <w:bdr w:val="none" w:sz="0" w:space="0" w:color="auto" w:frame="1"/>
          <w:lang w:eastAsia="it-IT"/>
        </w:rPr>
        <w:t>Transforming</w:t>
      </w:r>
      <w:proofErr w:type="spellEnd"/>
      <w:r w:rsidRPr="00BD5FED">
        <w:rPr>
          <w:rFonts w:ascii="Arial" w:eastAsia="Times New Roman" w:hAnsi="Arial" w:cs="Arial"/>
          <w:i/>
          <w:iCs/>
          <w:bdr w:val="none" w:sz="0" w:space="0" w:color="auto" w:frame="1"/>
          <w:lang w:eastAsia="it-IT"/>
        </w:rPr>
        <w:t xml:space="preserve"> Learning &amp; Development”, </w:t>
      </w:r>
      <w:r w:rsidRPr="00BD5FED">
        <w:rPr>
          <w:rFonts w:ascii="Arial" w:eastAsia="Times New Roman" w:hAnsi="Arial" w:cs="Arial"/>
          <w:lang w:eastAsia="it-IT"/>
        </w:rPr>
        <w:t xml:space="preserve">suddiviso in quattro giornate dal 16 al 19 novembre 2020; il webinar organizzato da ACCA, </w:t>
      </w:r>
      <w:proofErr w:type="spellStart"/>
      <w:r w:rsidRPr="00BD5FED">
        <w:rPr>
          <w:rFonts w:ascii="Arial" w:eastAsia="Times New Roman" w:hAnsi="Arial" w:cs="Arial"/>
          <w:lang w:eastAsia="it-IT"/>
        </w:rPr>
        <w:t>Accountancy</w:t>
      </w:r>
      <w:proofErr w:type="spellEnd"/>
      <w:r w:rsidRPr="00BD5FED">
        <w:rPr>
          <w:rFonts w:ascii="Arial" w:eastAsia="Times New Roman" w:hAnsi="Arial" w:cs="Arial"/>
          <w:lang w:eastAsia="it-IT"/>
        </w:rPr>
        <w:t xml:space="preserve"> Europe, EACB e SME United “</w:t>
      </w:r>
      <w:r w:rsidRPr="00BD5FED">
        <w:rPr>
          <w:rFonts w:ascii="Arial" w:eastAsia="Times New Roman" w:hAnsi="Arial" w:cs="Arial"/>
          <w:i/>
          <w:iCs/>
          <w:bdr w:val="none" w:sz="0" w:space="0" w:color="auto" w:frame="1"/>
          <w:lang w:eastAsia="it-IT"/>
        </w:rPr>
        <w:t>How can non-</w:t>
      </w:r>
      <w:proofErr w:type="spellStart"/>
      <w:r w:rsidRPr="00BD5FED">
        <w:rPr>
          <w:rFonts w:ascii="Arial" w:eastAsia="Times New Roman" w:hAnsi="Arial" w:cs="Arial"/>
          <w:i/>
          <w:iCs/>
          <w:bdr w:val="none" w:sz="0" w:space="0" w:color="auto" w:frame="1"/>
          <w:lang w:eastAsia="it-IT"/>
        </w:rPr>
        <w:t>financial</w:t>
      </w:r>
      <w:proofErr w:type="spellEnd"/>
      <w:r w:rsidRPr="00BD5FED">
        <w:rPr>
          <w:rFonts w:ascii="Arial" w:eastAsia="Times New Roman" w:hAnsi="Arial" w:cs="Arial"/>
          <w:i/>
          <w:iCs/>
          <w:bdr w:val="none" w:sz="0" w:space="0" w:color="auto" w:frame="1"/>
          <w:lang w:eastAsia="it-IT"/>
        </w:rPr>
        <w:t xml:space="preserve"> information (NFI) reporting work for</w:t>
      </w:r>
      <w:r w:rsidRPr="00BD5FED">
        <w:rPr>
          <w:rFonts w:ascii="Arial" w:eastAsia="Times New Roman" w:hAnsi="Arial" w:cs="Arial"/>
          <w:lang w:eastAsia="it-IT"/>
        </w:rPr>
        <w:t> </w:t>
      </w:r>
      <w:proofErr w:type="spellStart"/>
      <w:r w:rsidRPr="00BD5FED">
        <w:rPr>
          <w:rFonts w:ascii="Arial" w:eastAsia="Times New Roman" w:hAnsi="Arial" w:cs="Arial"/>
          <w:lang w:eastAsia="it-IT"/>
        </w:rPr>
        <w:t>SMEs</w:t>
      </w:r>
      <w:proofErr w:type="spellEnd"/>
      <w:r w:rsidRPr="00BD5FED">
        <w:rPr>
          <w:rFonts w:ascii="Arial" w:eastAsia="Times New Roman" w:hAnsi="Arial" w:cs="Arial"/>
          <w:lang w:eastAsia="it-IT"/>
        </w:rPr>
        <w:t>?” in programma per il prossimo 19 novembre</w:t>
      </w:r>
      <w:r w:rsidRPr="00BD5FED">
        <w:rPr>
          <w:rFonts w:ascii="Arial" w:eastAsia="Times New Roman" w:hAnsi="Arial" w:cs="Arial"/>
          <w:i/>
          <w:iCs/>
          <w:bdr w:val="none" w:sz="0" w:space="0" w:color="auto" w:frame="1"/>
          <w:lang w:eastAsia="it-IT"/>
        </w:rPr>
        <w:t>.</w:t>
      </w:r>
    </w:p>
    <w:p w14:paraId="6F61871B" w14:textId="7096297D" w:rsidR="00BD5FED" w:rsidRPr="00BD5FED" w:rsidRDefault="00BD5FED" w:rsidP="00BD5FED">
      <w:pPr>
        <w:pStyle w:val="p1"/>
        <w:shd w:val="clear" w:color="auto" w:fill="FFFFFF"/>
        <w:jc w:val="both"/>
        <w:rPr>
          <w:rFonts w:ascii="Arial" w:hAnsi="Arial" w:cs="Arial"/>
          <w:color w:val="000000"/>
          <w:sz w:val="24"/>
          <w:szCs w:val="24"/>
        </w:rPr>
      </w:pPr>
    </w:p>
    <w:p w14:paraId="0B88F8AB" w14:textId="03E530BE" w:rsidR="00BD5FED" w:rsidRPr="00BD5FED" w:rsidRDefault="00BD5FED" w:rsidP="00BD5FED">
      <w:pPr>
        <w:pStyle w:val="p8"/>
        <w:jc w:val="both"/>
        <w:rPr>
          <w:rFonts w:ascii="Arial" w:hAnsi="Arial" w:cs="Arial"/>
          <w:color w:val="000000"/>
          <w:sz w:val="24"/>
          <w:szCs w:val="24"/>
        </w:rPr>
      </w:pPr>
    </w:p>
    <w:sectPr w:rsidR="00BD5FED" w:rsidRPr="00BD5FED" w:rsidSect="00986D90">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450D5" w14:textId="77777777" w:rsidR="00E650AF" w:rsidRDefault="00E650AF" w:rsidP="00627996">
      <w:r>
        <w:separator/>
      </w:r>
    </w:p>
  </w:endnote>
  <w:endnote w:type="continuationSeparator" w:id="0">
    <w:p w14:paraId="4EBEE087" w14:textId="77777777" w:rsidR="00E650AF" w:rsidRDefault="00E650AF"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45801" w14:textId="77777777" w:rsidR="00E650AF" w:rsidRDefault="00E650AF" w:rsidP="00627996">
      <w:r>
        <w:separator/>
      </w:r>
    </w:p>
  </w:footnote>
  <w:footnote w:type="continuationSeparator" w:id="0">
    <w:p w14:paraId="31DDC022" w14:textId="77777777" w:rsidR="00E650AF" w:rsidRDefault="00E650AF"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3A051" w14:textId="77777777" w:rsidR="00627996" w:rsidRDefault="00627996">
    <w:pPr>
      <w:pStyle w:val="Intestazione"/>
    </w:pPr>
    <w:r w:rsidRPr="00A945F8">
      <w:rPr>
        <w:noProof/>
      </w:rPr>
      <w:drawing>
        <wp:inline distT="0" distB="0" distL="0" distR="0" wp14:anchorId="4297FDB2" wp14:editId="5BEC66E3">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1B3759"/>
    <w:rsid w:val="001D0C92"/>
    <w:rsid w:val="001F54D4"/>
    <w:rsid w:val="00206248"/>
    <w:rsid w:val="00237BEE"/>
    <w:rsid w:val="002B1170"/>
    <w:rsid w:val="002B1507"/>
    <w:rsid w:val="002E31F2"/>
    <w:rsid w:val="003248FA"/>
    <w:rsid w:val="003506C6"/>
    <w:rsid w:val="00370611"/>
    <w:rsid w:val="00372875"/>
    <w:rsid w:val="003C2FC0"/>
    <w:rsid w:val="004E409A"/>
    <w:rsid w:val="00514814"/>
    <w:rsid w:val="00537C70"/>
    <w:rsid w:val="00595991"/>
    <w:rsid w:val="005E0451"/>
    <w:rsid w:val="006006AA"/>
    <w:rsid w:val="00627996"/>
    <w:rsid w:val="00656CC5"/>
    <w:rsid w:val="00734687"/>
    <w:rsid w:val="008916F5"/>
    <w:rsid w:val="00986D90"/>
    <w:rsid w:val="009D1104"/>
    <w:rsid w:val="009F27EC"/>
    <w:rsid w:val="00AC6BB0"/>
    <w:rsid w:val="00BD5FED"/>
    <w:rsid w:val="00BF5D58"/>
    <w:rsid w:val="00C82BAE"/>
    <w:rsid w:val="00D0285A"/>
    <w:rsid w:val="00D41E98"/>
    <w:rsid w:val="00D64E46"/>
    <w:rsid w:val="00DB4B99"/>
    <w:rsid w:val="00E650AF"/>
    <w:rsid w:val="00F44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C4BC"/>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3506C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Default">
    <w:name w:val="Default"/>
    <w:rsid w:val="003506C6"/>
    <w:pPr>
      <w:autoSpaceDE w:val="0"/>
      <w:autoSpaceDN w:val="0"/>
      <w:adjustRightInd w:val="0"/>
    </w:pPr>
    <w:rPr>
      <w:rFonts w:ascii="Calibri" w:eastAsia="Calibri" w:hAnsi="Calibri" w:cs="Calibri"/>
      <w:color w:val="000000"/>
    </w:rPr>
  </w:style>
  <w:style w:type="paragraph" w:customStyle="1" w:styleId="p1">
    <w:name w:val="p1"/>
    <w:basedOn w:val="Normale"/>
    <w:rsid w:val="00D64E46"/>
    <w:rPr>
      <w:rFonts w:ascii="Calibri" w:hAnsi="Calibri" w:cs="Calibri"/>
      <w:sz w:val="22"/>
      <w:szCs w:val="22"/>
      <w:lang w:eastAsia="it-IT"/>
    </w:rPr>
  </w:style>
  <w:style w:type="paragraph" w:customStyle="1" w:styleId="p2">
    <w:name w:val="p2"/>
    <w:basedOn w:val="Normale"/>
    <w:rsid w:val="00D64E46"/>
    <w:rPr>
      <w:rFonts w:ascii="Calibri" w:hAnsi="Calibri" w:cs="Calibri"/>
      <w:sz w:val="22"/>
      <w:szCs w:val="22"/>
      <w:lang w:eastAsia="it-IT"/>
    </w:rPr>
  </w:style>
  <w:style w:type="character" w:customStyle="1" w:styleId="apple-converted-space">
    <w:name w:val="apple-converted-space"/>
    <w:basedOn w:val="Carpredefinitoparagrafo"/>
    <w:rsid w:val="00D64E46"/>
  </w:style>
  <w:style w:type="character" w:styleId="Collegamentoipertestuale">
    <w:name w:val="Hyperlink"/>
    <w:basedOn w:val="Carpredefinitoparagrafo"/>
    <w:uiPriority w:val="99"/>
    <w:unhideWhenUsed/>
    <w:rsid w:val="00C82BAE"/>
    <w:rPr>
      <w:color w:val="0000FF"/>
      <w:u w:val="single"/>
    </w:rPr>
  </w:style>
  <w:style w:type="paragraph" w:customStyle="1" w:styleId="xxp1">
    <w:name w:val="x_x_p1"/>
    <w:basedOn w:val="Normale"/>
    <w:rsid w:val="00C82BAE"/>
    <w:rPr>
      <w:rFonts w:ascii="Calibri" w:hAnsi="Calibri" w:cs="Calibri"/>
      <w:sz w:val="22"/>
      <w:szCs w:val="22"/>
      <w:lang w:eastAsia="it-IT"/>
    </w:rPr>
  </w:style>
  <w:style w:type="paragraph" w:customStyle="1" w:styleId="xxp2">
    <w:name w:val="x_x_p2"/>
    <w:basedOn w:val="Normale"/>
    <w:rsid w:val="00C82BAE"/>
    <w:rPr>
      <w:rFonts w:ascii="Calibri" w:hAnsi="Calibri" w:cs="Calibri"/>
      <w:sz w:val="22"/>
      <w:szCs w:val="22"/>
      <w:lang w:eastAsia="it-IT"/>
    </w:rPr>
  </w:style>
  <w:style w:type="paragraph" w:customStyle="1" w:styleId="xxp3">
    <w:name w:val="x_x_p3"/>
    <w:basedOn w:val="Normale"/>
    <w:rsid w:val="00C82BAE"/>
    <w:rPr>
      <w:rFonts w:ascii="Calibri" w:hAnsi="Calibri" w:cs="Calibri"/>
      <w:sz w:val="22"/>
      <w:szCs w:val="22"/>
      <w:lang w:eastAsia="it-IT"/>
    </w:rPr>
  </w:style>
  <w:style w:type="character" w:customStyle="1" w:styleId="xxapple-converted-space">
    <w:name w:val="x_x_apple-converted-space"/>
    <w:basedOn w:val="Carpredefinitoparagrafo"/>
    <w:rsid w:val="00C82BAE"/>
  </w:style>
  <w:style w:type="character" w:customStyle="1" w:styleId="xxs1">
    <w:name w:val="x_x_s1"/>
    <w:basedOn w:val="Carpredefinitoparagrafo"/>
    <w:rsid w:val="00C82BAE"/>
  </w:style>
  <w:style w:type="character" w:styleId="Menzionenonrisolta">
    <w:name w:val="Unresolved Mention"/>
    <w:basedOn w:val="Carpredefinitoparagrafo"/>
    <w:uiPriority w:val="99"/>
    <w:rsid w:val="00C82BAE"/>
    <w:rPr>
      <w:color w:val="605E5C"/>
      <w:shd w:val="clear" w:color="auto" w:fill="E1DFDD"/>
    </w:rPr>
  </w:style>
  <w:style w:type="paragraph" w:customStyle="1" w:styleId="p3">
    <w:name w:val="p3"/>
    <w:basedOn w:val="Normale"/>
    <w:rsid w:val="00BD5FED"/>
    <w:rPr>
      <w:rFonts w:ascii="Calibri" w:hAnsi="Calibri" w:cs="Calibri"/>
      <w:sz w:val="22"/>
      <w:szCs w:val="22"/>
      <w:lang w:eastAsia="it-IT"/>
    </w:rPr>
  </w:style>
  <w:style w:type="paragraph" w:customStyle="1" w:styleId="p4">
    <w:name w:val="p4"/>
    <w:basedOn w:val="Normale"/>
    <w:rsid w:val="00BD5FED"/>
    <w:rPr>
      <w:rFonts w:ascii="Calibri" w:hAnsi="Calibri" w:cs="Calibri"/>
      <w:sz w:val="22"/>
      <w:szCs w:val="22"/>
      <w:lang w:eastAsia="it-IT"/>
    </w:rPr>
  </w:style>
  <w:style w:type="paragraph" w:customStyle="1" w:styleId="p5">
    <w:name w:val="p5"/>
    <w:basedOn w:val="Normale"/>
    <w:rsid w:val="00BD5FED"/>
    <w:rPr>
      <w:rFonts w:ascii="Calibri" w:hAnsi="Calibri" w:cs="Calibri"/>
      <w:sz w:val="22"/>
      <w:szCs w:val="22"/>
      <w:lang w:eastAsia="it-IT"/>
    </w:rPr>
  </w:style>
  <w:style w:type="paragraph" w:customStyle="1" w:styleId="p6">
    <w:name w:val="p6"/>
    <w:basedOn w:val="Normale"/>
    <w:rsid w:val="00BD5FED"/>
    <w:rPr>
      <w:rFonts w:ascii="Calibri" w:hAnsi="Calibri" w:cs="Calibri"/>
      <w:sz w:val="22"/>
      <w:szCs w:val="22"/>
      <w:lang w:eastAsia="it-IT"/>
    </w:rPr>
  </w:style>
  <w:style w:type="paragraph" w:customStyle="1" w:styleId="p7">
    <w:name w:val="p7"/>
    <w:basedOn w:val="Normale"/>
    <w:rsid w:val="00BD5FED"/>
    <w:rPr>
      <w:rFonts w:ascii="Calibri" w:hAnsi="Calibri" w:cs="Calibri"/>
      <w:sz w:val="22"/>
      <w:szCs w:val="22"/>
      <w:lang w:eastAsia="it-IT"/>
    </w:rPr>
  </w:style>
  <w:style w:type="paragraph" w:customStyle="1" w:styleId="p8">
    <w:name w:val="p8"/>
    <w:basedOn w:val="Normale"/>
    <w:rsid w:val="00BD5FED"/>
    <w:rPr>
      <w:rFonts w:ascii="Calibri" w:hAnsi="Calibri" w:cs="Calibri"/>
      <w:sz w:val="22"/>
      <w:szCs w:val="22"/>
      <w:lang w:eastAsia="it-IT"/>
    </w:rPr>
  </w:style>
  <w:style w:type="character" w:customStyle="1" w:styleId="s1">
    <w:name w:val="s1"/>
    <w:basedOn w:val="Carpredefinitoparagrafo"/>
    <w:rsid w:val="00BD5FED"/>
  </w:style>
  <w:style w:type="character" w:customStyle="1" w:styleId="s2">
    <w:name w:val="s2"/>
    <w:basedOn w:val="Carpredefinitoparagrafo"/>
    <w:rsid w:val="00BD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18481">
      <w:bodyDiv w:val="1"/>
      <w:marLeft w:val="0"/>
      <w:marRight w:val="0"/>
      <w:marTop w:val="0"/>
      <w:marBottom w:val="0"/>
      <w:divBdr>
        <w:top w:val="none" w:sz="0" w:space="0" w:color="auto"/>
        <w:left w:val="none" w:sz="0" w:space="0" w:color="auto"/>
        <w:bottom w:val="none" w:sz="0" w:space="0" w:color="auto"/>
        <w:right w:val="none" w:sz="0" w:space="0" w:color="auto"/>
      </w:divBdr>
    </w:div>
    <w:div w:id="1125394862">
      <w:bodyDiv w:val="1"/>
      <w:marLeft w:val="0"/>
      <w:marRight w:val="0"/>
      <w:marTop w:val="0"/>
      <w:marBottom w:val="0"/>
      <w:divBdr>
        <w:top w:val="none" w:sz="0" w:space="0" w:color="auto"/>
        <w:left w:val="none" w:sz="0" w:space="0" w:color="auto"/>
        <w:bottom w:val="none" w:sz="0" w:space="0" w:color="auto"/>
        <w:right w:val="none" w:sz="0" w:space="0" w:color="auto"/>
      </w:divBdr>
    </w:div>
    <w:div w:id="1576471513">
      <w:bodyDiv w:val="1"/>
      <w:marLeft w:val="0"/>
      <w:marRight w:val="0"/>
      <w:marTop w:val="0"/>
      <w:marBottom w:val="0"/>
      <w:divBdr>
        <w:top w:val="none" w:sz="0" w:space="0" w:color="auto"/>
        <w:left w:val="none" w:sz="0" w:space="0" w:color="auto"/>
        <w:bottom w:val="none" w:sz="0" w:space="0" w:color="auto"/>
        <w:right w:val="none" w:sz="0" w:space="0" w:color="auto"/>
      </w:divBdr>
    </w:div>
    <w:div w:id="1644774916">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ess-magazine.it/13-conferenza-europea-cfe-il-30-novembre-su-zo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717</Words>
  <Characters>4090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10</cp:revision>
  <dcterms:created xsi:type="dcterms:W3CDTF">2020-11-21T09:53:00Z</dcterms:created>
  <dcterms:modified xsi:type="dcterms:W3CDTF">2020-11-24T19:06:00Z</dcterms:modified>
</cp:coreProperties>
</file>