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790" w:rsidRPr="00794790" w:rsidRDefault="00794790" w:rsidP="00196AB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94790">
        <w:rPr>
          <w:rFonts w:ascii="Arial" w:hAnsi="Arial" w:cs="Arial"/>
          <w:b/>
          <w:bCs/>
          <w:sz w:val="24"/>
          <w:szCs w:val="24"/>
        </w:rPr>
        <w:t>Comunicato stampa</w:t>
      </w:r>
    </w:p>
    <w:p w:rsidR="00794790" w:rsidRPr="00794790" w:rsidRDefault="00794790" w:rsidP="00196AB0">
      <w:pPr>
        <w:jc w:val="both"/>
        <w:rPr>
          <w:rFonts w:ascii="Arial" w:hAnsi="Arial" w:cs="Arial"/>
          <w:sz w:val="24"/>
          <w:szCs w:val="24"/>
        </w:rPr>
      </w:pPr>
    </w:p>
    <w:p w:rsidR="00794790" w:rsidRPr="00794790" w:rsidRDefault="00794790" w:rsidP="00196AB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94790">
        <w:rPr>
          <w:rFonts w:ascii="Arial" w:hAnsi="Arial" w:cs="Arial"/>
          <w:b/>
          <w:bCs/>
          <w:sz w:val="24"/>
          <w:szCs w:val="24"/>
        </w:rPr>
        <w:t>REVISIONE ENTI LOCALI, IN CONSULTAZIONE IL DOCUMENTO DEI COMMERCIALISTI</w:t>
      </w:r>
    </w:p>
    <w:p w:rsidR="00794790" w:rsidRPr="00794790" w:rsidRDefault="00751FA7" w:rsidP="00196AB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Il Consiglio nazionale della categoria ha realizzato due Quaderni a supporto del professionista in ogni fase del processo. </w:t>
      </w:r>
      <w:r w:rsidR="00794790" w:rsidRPr="00794790">
        <w:rPr>
          <w:rFonts w:ascii="Arial" w:hAnsi="Arial" w:cs="Arial"/>
          <w:b/>
          <w:bCs/>
          <w:sz w:val="24"/>
          <w:szCs w:val="24"/>
        </w:rPr>
        <w:t>È possibile inviare le osservazioni entro il 1</w:t>
      </w:r>
      <w:r w:rsidR="006C327C">
        <w:rPr>
          <w:rFonts w:ascii="Arial" w:hAnsi="Arial" w:cs="Arial"/>
          <w:b/>
          <w:bCs/>
          <w:sz w:val="24"/>
          <w:szCs w:val="24"/>
        </w:rPr>
        <w:t>5</w:t>
      </w:r>
      <w:r w:rsidR="00794790" w:rsidRPr="00794790">
        <w:rPr>
          <w:rFonts w:ascii="Arial" w:hAnsi="Arial" w:cs="Arial"/>
          <w:b/>
          <w:bCs/>
          <w:sz w:val="24"/>
          <w:szCs w:val="24"/>
        </w:rPr>
        <w:t xml:space="preserve"> luglio</w:t>
      </w:r>
    </w:p>
    <w:p w:rsidR="00794790" w:rsidRDefault="00794790" w:rsidP="00196AB0">
      <w:pPr>
        <w:jc w:val="both"/>
        <w:rPr>
          <w:rFonts w:ascii="Arial" w:hAnsi="Arial" w:cs="Arial"/>
          <w:sz w:val="24"/>
          <w:szCs w:val="24"/>
        </w:rPr>
      </w:pPr>
    </w:p>
    <w:p w:rsidR="00196AB0" w:rsidRPr="00963536" w:rsidRDefault="0005641C" w:rsidP="00196AB0">
      <w:pPr>
        <w:jc w:val="both"/>
        <w:rPr>
          <w:rFonts w:ascii="Arial" w:hAnsi="Arial" w:cs="Arial"/>
          <w:sz w:val="24"/>
          <w:szCs w:val="24"/>
        </w:rPr>
      </w:pPr>
      <w:r w:rsidRPr="00794790">
        <w:rPr>
          <w:rFonts w:ascii="Arial" w:hAnsi="Arial" w:cs="Arial"/>
          <w:i/>
          <w:iCs/>
          <w:sz w:val="24"/>
          <w:szCs w:val="24"/>
        </w:rPr>
        <w:t>Roma, 1</w:t>
      </w:r>
      <w:r w:rsidR="006503A0">
        <w:rPr>
          <w:rFonts w:ascii="Arial" w:hAnsi="Arial" w:cs="Arial"/>
          <w:i/>
          <w:iCs/>
          <w:sz w:val="24"/>
          <w:szCs w:val="24"/>
        </w:rPr>
        <w:t>6</w:t>
      </w:r>
      <w:r w:rsidRPr="00794790">
        <w:rPr>
          <w:rFonts w:ascii="Arial" w:hAnsi="Arial" w:cs="Arial"/>
          <w:i/>
          <w:iCs/>
          <w:sz w:val="24"/>
          <w:szCs w:val="24"/>
        </w:rPr>
        <w:t xml:space="preserve"> giugno 2020</w:t>
      </w:r>
      <w:r w:rsidRPr="00794790">
        <w:rPr>
          <w:rFonts w:ascii="Arial" w:hAnsi="Arial" w:cs="Arial"/>
          <w:sz w:val="24"/>
          <w:szCs w:val="24"/>
        </w:rPr>
        <w:t xml:space="preserve"> – </w:t>
      </w:r>
      <w:r w:rsidR="00196AB0" w:rsidRPr="00794790">
        <w:rPr>
          <w:rFonts w:ascii="Arial" w:hAnsi="Arial" w:cs="Arial"/>
          <w:sz w:val="24"/>
          <w:szCs w:val="24"/>
        </w:rPr>
        <w:t xml:space="preserve">Fornire al revisore degli enti locali un </w:t>
      </w:r>
      <w:r w:rsidR="00196AB0" w:rsidRPr="005135CD">
        <w:rPr>
          <w:rFonts w:ascii="Arial" w:hAnsi="Arial" w:cs="Arial"/>
          <w:b/>
          <w:bCs/>
          <w:sz w:val="24"/>
          <w:szCs w:val="24"/>
        </w:rPr>
        <w:t>armamentario semplice</w:t>
      </w:r>
      <w:r w:rsidR="00196AB0" w:rsidRPr="00794790">
        <w:rPr>
          <w:rFonts w:ascii="Arial" w:hAnsi="Arial" w:cs="Arial"/>
          <w:sz w:val="24"/>
          <w:szCs w:val="24"/>
        </w:rPr>
        <w:t>, ma</w:t>
      </w:r>
      <w:r w:rsidR="00196AB0" w:rsidRPr="00963536">
        <w:rPr>
          <w:rFonts w:ascii="Arial" w:hAnsi="Arial" w:cs="Arial"/>
          <w:sz w:val="24"/>
          <w:szCs w:val="24"/>
        </w:rPr>
        <w:t xml:space="preserve"> </w:t>
      </w:r>
      <w:r w:rsidR="00196AB0" w:rsidRPr="004D0D84">
        <w:rPr>
          <w:rFonts w:ascii="Arial" w:hAnsi="Arial" w:cs="Arial"/>
          <w:b/>
          <w:bCs/>
          <w:sz w:val="24"/>
          <w:szCs w:val="24"/>
        </w:rPr>
        <w:t>puntuale</w:t>
      </w:r>
      <w:r w:rsidR="00196AB0" w:rsidRPr="00963536">
        <w:rPr>
          <w:rFonts w:ascii="Arial" w:hAnsi="Arial" w:cs="Arial"/>
          <w:sz w:val="24"/>
          <w:szCs w:val="24"/>
        </w:rPr>
        <w:t xml:space="preserve"> nell’affrontare i molteplici </w:t>
      </w:r>
      <w:r w:rsidR="00196AB0" w:rsidRPr="005135CD">
        <w:rPr>
          <w:rFonts w:ascii="Arial" w:hAnsi="Arial" w:cs="Arial"/>
          <w:b/>
          <w:bCs/>
          <w:sz w:val="24"/>
          <w:szCs w:val="24"/>
        </w:rPr>
        <w:t>controlli che la funzione impone</w:t>
      </w:r>
      <w:r w:rsidR="00196AB0" w:rsidRPr="00963536">
        <w:rPr>
          <w:rFonts w:ascii="Arial" w:hAnsi="Arial" w:cs="Arial"/>
          <w:sz w:val="24"/>
          <w:szCs w:val="24"/>
        </w:rPr>
        <w:t xml:space="preserve">, riducendo la probabilità di errore e </w:t>
      </w:r>
      <w:r w:rsidR="00196AB0" w:rsidRPr="005135CD">
        <w:rPr>
          <w:rFonts w:ascii="Arial" w:hAnsi="Arial" w:cs="Arial"/>
          <w:b/>
          <w:bCs/>
          <w:sz w:val="24"/>
          <w:szCs w:val="24"/>
        </w:rPr>
        <w:t>contenendo il rischio</w:t>
      </w:r>
      <w:r w:rsidR="00196AB0" w:rsidRPr="00963536">
        <w:rPr>
          <w:rFonts w:ascii="Arial" w:hAnsi="Arial" w:cs="Arial"/>
          <w:sz w:val="24"/>
          <w:szCs w:val="24"/>
        </w:rPr>
        <w:t xml:space="preserve"> di responsabilità. </w:t>
      </w:r>
    </w:p>
    <w:p w:rsidR="00196AB0" w:rsidRDefault="00196AB0" w:rsidP="00791886">
      <w:pPr>
        <w:jc w:val="both"/>
        <w:rPr>
          <w:rFonts w:ascii="Arial" w:hAnsi="Arial" w:cs="Arial"/>
          <w:sz w:val="24"/>
          <w:szCs w:val="24"/>
        </w:rPr>
      </w:pPr>
    </w:p>
    <w:p w:rsidR="00791886" w:rsidRPr="00794790" w:rsidRDefault="00196AB0" w:rsidP="007918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È il fine del documento “La revisione degli Enti locali”, </w:t>
      </w:r>
      <w:r w:rsidR="00791886">
        <w:rPr>
          <w:rFonts w:ascii="Arial" w:hAnsi="Arial" w:cs="Arial"/>
          <w:sz w:val="24"/>
          <w:szCs w:val="24"/>
        </w:rPr>
        <w:t>in pubblica consultazione per 30 giorni</w:t>
      </w:r>
      <w:r>
        <w:rPr>
          <w:rFonts w:ascii="Arial" w:hAnsi="Arial" w:cs="Arial"/>
          <w:sz w:val="24"/>
          <w:szCs w:val="24"/>
        </w:rPr>
        <w:t>,</w:t>
      </w:r>
      <w:r w:rsidR="00791886">
        <w:rPr>
          <w:rFonts w:ascii="Arial" w:hAnsi="Arial" w:cs="Arial"/>
          <w:sz w:val="24"/>
          <w:szCs w:val="24"/>
        </w:rPr>
        <w:t xml:space="preserve"> elaborato dal gruppo di lavoro “Attività di revisione negli Enti locali” del Consiglio nazionale dei dottori commercialisti e degli esperti contabili, area di delega </w:t>
      </w:r>
      <w:r w:rsidR="007A0625">
        <w:rPr>
          <w:rFonts w:ascii="Arial" w:hAnsi="Arial" w:cs="Arial"/>
          <w:sz w:val="24"/>
          <w:szCs w:val="24"/>
        </w:rPr>
        <w:t xml:space="preserve">“Economia degli Enti locali”, </w:t>
      </w:r>
      <w:r w:rsidR="00791886">
        <w:rPr>
          <w:rFonts w:ascii="Arial" w:hAnsi="Arial" w:cs="Arial"/>
          <w:sz w:val="24"/>
          <w:szCs w:val="24"/>
        </w:rPr>
        <w:t xml:space="preserve">dei consiglieri </w:t>
      </w:r>
      <w:r w:rsidR="00791886" w:rsidRPr="00794790">
        <w:rPr>
          <w:rFonts w:ascii="Arial" w:hAnsi="Arial" w:cs="Arial"/>
          <w:b/>
          <w:bCs/>
          <w:sz w:val="24"/>
          <w:szCs w:val="24"/>
        </w:rPr>
        <w:t>Davide Di Russo</w:t>
      </w:r>
      <w:r w:rsidR="00791886">
        <w:rPr>
          <w:rFonts w:ascii="Arial" w:hAnsi="Arial" w:cs="Arial"/>
          <w:sz w:val="24"/>
          <w:szCs w:val="24"/>
        </w:rPr>
        <w:t xml:space="preserve"> e </w:t>
      </w:r>
      <w:r w:rsidR="00791886" w:rsidRPr="00794790">
        <w:rPr>
          <w:rFonts w:ascii="Arial" w:hAnsi="Arial" w:cs="Arial"/>
          <w:b/>
          <w:bCs/>
          <w:sz w:val="24"/>
          <w:szCs w:val="24"/>
        </w:rPr>
        <w:t>Remigio Sequi</w:t>
      </w:r>
      <w:r w:rsidR="00794790">
        <w:rPr>
          <w:rFonts w:ascii="Arial" w:hAnsi="Arial" w:cs="Arial"/>
          <w:sz w:val="24"/>
          <w:szCs w:val="24"/>
        </w:rPr>
        <w:t>.</w:t>
      </w:r>
    </w:p>
    <w:p w:rsidR="00791886" w:rsidRDefault="00791886" w:rsidP="00791886">
      <w:pPr>
        <w:jc w:val="both"/>
        <w:rPr>
          <w:rFonts w:ascii="Arial" w:hAnsi="Arial" w:cs="Arial"/>
          <w:sz w:val="24"/>
          <w:szCs w:val="24"/>
        </w:rPr>
      </w:pPr>
    </w:p>
    <w:p w:rsidR="00963536" w:rsidRPr="00963536" w:rsidRDefault="00791886" w:rsidP="009635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</w:t>
      </w:r>
      <w:r w:rsidR="00413312" w:rsidRPr="00791886">
        <w:rPr>
          <w:rFonts w:ascii="Arial" w:hAnsi="Arial" w:cs="Arial"/>
          <w:sz w:val="24"/>
          <w:szCs w:val="24"/>
        </w:rPr>
        <w:t>documento</w:t>
      </w:r>
      <w:r>
        <w:rPr>
          <w:rFonts w:ascii="Arial" w:hAnsi="Arial" w:cs="Arial"/>
          <w:sz w:val="24"/>
          <w:szCs w:val="24"/>
        </w:rPr>
        <w:t xml:space="preserve">, </w:t>
      </w:r>
      <w:r w:rsidR="00963536">
        <w:rPr>
          <w:rFonts w:ascii="Arial" w:hAnsi="Arial" w:cs="Arial"/>
          <w:sz w:val="24"/>
          <w:szCs w:val="24"/>
        </w:rPr>
        <w:t xml:space="preserve">suddiviso per una migliore fruibilità in </w:t>
      </w:r>
      <w:r w:rsidR="00413312" w:rsidRPr="00791886">
        <w:rPr>
          <w:rFonts w:ascii="Arial" w:hAnsi="Arial" w:cs="Arial"/>
          <w:sz w:val="24"/>
          <w:szCs w:val="24"/>
        </w:rPr>
        <w:t xml:space="preserve">due </w:t>
      </w:r>
      <w:r>
        <w:rPr>
          <w:rFonts w:ascii="Arial" w:hAnsi="Arial" w:cs="Arial"/>
          <w:sz w:val="24"/>
          <w:szCs w:val="24"/>
        </w:rPr>
        <w:t>q</w:t>
      </w:r>
      <w:r w:rsidR="00413312" w:rsidRPr="00791886">
        <w:rPr>
          <w:rFonts w:ascii="Arial" w:hAnsi="Arial" w:cs="Arial"/>
          <w:sz w:val="24"/>
          <w:szCs w:val="24"/>
        </w:rPr>
        <w:t>uaderni (</w:t>
      </w:r>
      <w:r w:rsidR="00413312" w:rsidRPr="00791886">
        <w:rPr>
          <w:rFonts w:ascii="Arial" w:hAnsi="Arial" w:cs="Arial"/>
          <w:i/>
          <w:iCs/>
          <w:sz w:val="24"/>
          <w:szCs w:val="24"/>
        </w:rPr>
        <w:t>Quaderno I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413312" w:rsidRPr="00791886">
        <w:rPr>
          <w:rFonts w:ascii="Arial" w:hAnsi="Arial" w:cs="Arial"/>
          <w:i/>
          <w:iCs/>
          <w:sz w:val="24"/>
          <w:szCs w:val="24"/>
        </w:rPr>
        <w:t xml:space="preserve">- Approccio metodologico </w:t>
      </w:r>
      <w:r w:rsidR="00413312" w:rsidRPr="00791886">
        <w:rPr>
          <w:rFonts w:ascii="Arial" w:hAnsi="Arial" w:cs="Arial"/>
          <w:sz w:val="24"/>
          <w:szCs w:val="24"/>
        </w:rPr>
        <w:t>e</w:t>
      </w:r>
      <w:r w:rsidR="00413312" w:rsidRPr="00791886">
        <w:rPr>
          <w:rFonts w:ascii="Arial" w:hAnsi="Arial" w:cs="Arial"/>
          <w:i/>
          <w:iCs/>
          <w:sz w:val="24"/>
          <w:szCs w:val="24"/>
        </w:rPr>
        <w:t xml:space="preserve"> Quaderno II – 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="00413312" w:rsidRPr="00791886">
        <w:rPr>
          <w:rFonts w:ascii="Arial" w:hAnsi="Arial" w:cs="Arial"/>
          <w:i/>
          <w:iCs/>
          <w:sz w:val="24"/>
          <w:szCs w:val="24"/>
        </w:rPr>
        <w:t>trumenti operativi</w:t>
      </w:r>
      <w:r w:rsidR="00413312" w:rsidRPr="00791886">
        <w:rPr>
          <w:rFonts w:ascii="Arial" w:hAnsi="Arial" w:cs="Arial"/>
          <w:sz w:val="24"/>
          <w:szCs w:val="24"/>
        </w:rPr>
        <w:t xml:space="preserve">) con i relativi allegati, propone un </w:t>
      </w:r>
      <w:r w:rsidR="00413312" w:rsidRPr="004D0D84">
        <w:rPr>
          <w:rFonts w:ascii="Arial" w:hAnsi="Arial" w:cs="Arial"/>
          <w:b/>
          <w:bCs/>
          <w:sz w:val="24"/>
          <w:szCs w:val="24"/>
        </w:rPr>
        <w:t>approccio metodologico</w:t>
      </w:r>
      <w:r w:rsidR="00413312" w:rsidRPr="00791886">
        <w:rPr>
          <w:rFonts w:ascii="Arial" w:hAnsi="Arial" w:cs="Arial"/>
          <w:sz w:val="24"/>
          <w:szCs w:val="24"/>
        </w:rPr>
        <w:t xml:space="preserve"> </w:t>
      </w:r>
      <w:r w:rsidR="00963536">
        <w:rPr>
          <w:rFonts w:ascii="Arial" w:hAnsi="Arial" w:cs="Arial"/>
          <w:sz w:val="24"/>
          <w:szCs w:val="24"/>
        </w:rPr>
        <w:t>per lo svolgimento della funzione revisionale negli Enti locali</w:t>
      </w:r>
      <w:r w:rsidR="00196AB0">
        <w:rPr>
          <w:rFonts w:ascii="Arial" w:hAnsi="Arial" w:cs="Arial"/>
          <w:sz w:val="24"/>
          <w:szCs w:val="24"/>
        </w:rPr>
        <w:t xml:space="preserve"> e mette a disposizione del professionista u</w:t>
      </w:r>
      <w:r w:rsidR="00963536" w:rsidRPr="00963536">
        <w:rPr>
          <w:rFonts w:ascii="Arial" w:hAnsi="Arial" w:cs="Arial"/>
          <w:sz w:val="24"/>
          <w:szCs w:val="24"/>
        </w:rPr>
        <w:t xml:space="preserve">na serie di materiali operativi </w:t>
      </w:r>
      <w:r w:rsidR="00963536" w:rsidRPr="004D0D84">
        <w:rPr>
          <w:rFonts w:ascii="Arial" w:hAnsi="Arial" w:cs="Arial"/>
          <w:b/>
          <w:bCs/>
          <w:sz w:val="24"/>
          <w:szCs w:val="24"/>
        </w:rPr>
        <w:t>a supporto di ogni</w:t>
      </w:r>
      <w:r w:rsidR="00196AB0" w:rsidRPr="004D0D84">
        <w:rPr>
          <w:rFonts w:ascii="Arial" w:hAnsi="Arial" w:cs="Arial"/>
          <w:b/>
          <w:bCs/>
          <w:sz w:val="24"/>
          <w:szCs w:val="24"/>
        </w:rPr>
        <w:t xml:space="preserve"> fase </w:t>
      </w:r>
      <w:r w:rsidR="00963536" w:rsidRPr="004D0D84">
        <w:rPr>
          <w:rFonts w:ascii="Arial" w:hAnsi="Arial" w:cs="Arial"/>
          <w:b/>
          <w:bCs/>
          <w:sz w:val="24"/>
          <w:szCs w:val="24"/>
        </w:rPr>
        <w:t>del processo</w:t>
      </w:r>
      <w:r w:rsidR="00963536" w:rsidRPr="00963536">
        <w:rPr>
          <w:rFonts w:ascii="Arial" w:hAnsi="Arial" w:cs="Arial"/>
          <w:sz w:val="24"/>
          <w:szCs w:val="24"/>
        </w:rPr>
        <w:t xml:space="preserve"> di revisione. </w:t>
      </w:r>
    </w:p>
    <w:p w:rsidR="00196AB0" w:rsidRDefault="00196AB0" w:rsidP="00963536">
      <w:pPr>
        <w:jc w:val="both"/>
        <w:rPr>
          <w:rFonts w:ascii="Arial" w:hAnsi="Arial" w:cs="Arial"/>
          <w:sz w:val="24"/>
          <w:szCs w:val="24"/>
        </w:rPr>
      </w:pPr>
    </w:p>
    <w:p w:rsidR="00196AB0" w:rsidRDefault="00963536" w:rsidP="00963536">
      <w:pPr>
        <w:jc w:val="both"/>
        <w:rPr>
          <w:rFonts w:ascii="Arial" w:hAnsi="Arial" w:cs="Arial"/>
          <w:sz w:val="24"/>
          <w:szCs w:val="24"/>
        </w:rPr>
      </w:pPr>
      <w:r w:rsidRPr="00963536">
        <w:rPr>
          <w:rFonts w:ascii="Arial" w:hAnsi="Arial" w:cs="Arial"/>
          <w:sz w:val="24"/>
          <w:szCs w:val="24"/>
        </w:rPr>
        <w:t xml:space="preserve">Il </w:t>
      </w:r>
      <w:r w:rsidRPr="00E018DF">
        <w:rPr>
          <w:rFonts w:ascii="Arial" w:hAnsi="Arial" w:cs="Arial"/>
          <w:b/>
          <w:bCs/>
          <w:sz w:val="24"/>
          <w:szCs w:val="24"/>
        </w:rPr>
        <w:t>Quaderno I</w:t>
      </w:r>
      <w:r w:rsidRPr="00963536">
        <w:rPr>
          <w:rFonts w:ascii="Arial" w:hAnsi="Arial" w:cs="Arial"/>
          <w:sz w:val="24"/>
          <w:szCs w:val="24"/>
        </w:rPr>
        <w:t xml:space="preserve"> approfondisce le nozioni relative alle procedure di revisione, all’acquisizione degli elementi probativi, alla documentazione dell’attività e alla valutazione del rischio, soffermandosi in</w:t>
      </w:r>
      <w:r w:rsidR="00196AB0">
        <w:rPr>
          <w:rFonts w:ascii="Arial" w:hAnsi="Arial" w:cs="Arial"/>
          <w:sz w:val="24"/>
          <w:szCs w:val="24"/>
        </w:rPr>
        <w:t xml:space="preserve"> </w:t>
      </w:r>
      <w:r w:rsidRPr="00963536">
        <w:rPr>
          <w:rFonts w:ascii="Arial" w:hAnsi="Arial" w:cs="Arial"/>
          <w:sz w:val="24"/>
          <w:szCs w:val="24"/>
        </w:rPr>
        <w:t xml:space="preserve">modo particolare sulla metodologia di campionamento. Il </w:t>
      </w:r>
      <w:r w:rsidRPr="00E018DF">
        <w:rPr>
          <w:rFonts w:ascii="Arial" w:hAnsi="Arial" w:cs="Arial"/>
          <w:b/>
          <w:bCs/>
          <w:sz w:val="24"/>
          <w:szCs w:val="24"/>
        </w:rPr>
        <w:t>Quaderno II</w:t>
      </w:r>
      <w:r w:rsidRPr="00963536">
        <w:rPr>
          <w:rFonts w:ascii="Arial" w:hAnsi="Arial" w:cs="Arial"/>
          <w:sz w:val="24"/>
          <w:szCs w:val="24"/>
        </w:rPr>
        <w:t>, dal taglio ancor più operativo, è incentrato sulle procedure di revisione e sulla relativa documentazione a supporto.</w:t>
      </w:r>
    </w:p>
    <w:p w:rsidR="00963536" w:rsidRPr="00963536" w:rsidRDefault="00963536" w:rsidP="00963536">
      <w:pPr>
        <w:jc w:val="both"/>
        <w:rPr>
          <w:rFonts w:ascii="Arial" w:hAnsi="Arial" w:cs="Arial"/>
          <w:sz w:val="24"/>
          <w:szCs w:val="24"/>
        </w:rPr>
      </w:pPr>
      <w:r w:rsidRPr="00963536">
        <w:rPr>
          <w:rFonts w:ascii="Arial" w:hAnsi="Arial" w:cs="Arial"/>
          <w:sz w:val="24"/>
          <w:szCs w:val="24"/>
        </w:rPr>
        <w:t xml:space="preserve"> </w:t>
      </w:r>
    </w:p>
    <w:p w:rsidR="00E018DF" w:rsidRDefault="00963536" w:rsidP="00963536">
      <w:pPr>
        <w:jc w:val="both"/>
        <w:rPr>
          <w:rFonts w:ascii="Arial" w:hAnsi="Arial" w:cs="Arial"/>
          <w:sz w:val="24"/>
          <w:szCs w:val="24"/>
        </w:rPr>
      </w:pPr>
      <w:r w:rsidRPr="00963536">
        <w:rPr>
          <w:rFonts w:ascii="Arial" w:hAnsi="Arial" w:cs="Arial"/>
          <w:sz w:val="24"/>
          <w:szCs w:val="24"/>
        </w:rPr>
        <w:t xml:space="preserve">Entrambi i </w:t>
      </w:r>
      <w:r w:rsidR="005135CD">
        <w:rPr>
          <w:rFonts w:ascii="Arial" w:hAnsi="Arial" w:cs="Arial"/>
          <w:sz w:val="24"/>
          <w:szCs w:val="24"/>
        </w:rPr>
        <w:t>Q</w:t>
      </w:r>
      <w:r w:rsidRPr="00963536">
        <w:rPr>
          <w:rFonts w:ascii="Arial" w:hAnsi="Arial" w:cs="Arial"/>
          <w:sz w:val="24"/>
          <w:szCs w:val="24"/>
        </w:rPr>
        <w:t xml:space="preserve">uaderni sono arricchiti da </w:t>
      </w:r>
      <w:r w:rsidRPr="00E018DF">
        <w:rPr>
          <w:rFonts w:ascii="Arial" w:hAnsi="Arial" w:cs="Arial"/>
          <w:b/>
          <w:bCs/>
          <w:sz w:val="24"/>
          <w:szCs w:val="24"/>
        </w:rPr>
        <w:t>una serie di allegati</w:t>
      </w:r>
      <w:r w:rsidRPr="00963536">
        <w:rPr>
          <w:rFonts w:ascii="Arial" w:hAnsi="Arial" w:cs="Arial"/>
          <w:sz w:val="24"/>
          <w:szCs w:val="24"/>
        </w:rPr>
        <w:t xml:space="preserve"> che consistono in una versione standard di strumenti di lavoro (verbali, check list, carte di lavoro), di cui sono fornite le indicazioni applicative.</w:t>
      </w:r>
    </w:p>
    <w:p w:rsidR="00E018DF" w:rsidRDefault="00E018DF" w:rsidP="00963536">
      <w:pPr>
        <w:jc w:val="both"/>
        <w:rPr>
          <w:rFonts w:ascii="Arial" w:hAnsi="Arial" w:cs="Arial"/>
          <w:sz w:val="24"/>
          <w:szCs w:val="24"/>
        </w:rPr>
      </w:pPr>
    </w:p>
    <w:p w:rsidR="00196AB0" w:rsidRDefault="00963536" w:rsidP="00963536">
      <w:pPr>
        <w:jc w:val="both"/>
        <w:rPr>
          <w:rFonts w:ascii="Arial" w:hAnsi="Arial" w:cs="Arial"/>
          <w:sz w:val="24"/>
          <w:szCs w:val="24"/>
        </w:rPr>
      </w:pPr>
      <w:r w:rsidRPr="00963536">
        <w:rPr>
          <w:rFonts w:ascii="Arial" w:hAnsi="Arial" w:cs="Arial"/>
          <w:sz w:val="24"/>
          <w:szCs w:val="24"/>
        </w:rPr>
        <w:t xml:space="preserve">Si tratta di suggerimenti e strumenti che – pur elaborati alla luce dei Principi di vigilanza e controllo </w:t>
      </w:r>
      <w:r w:rsidR="00196AB0">
        <w:rPr>
          <w:rFonts w:ascii="Arial" w:hAnsi="Arial" w:cs="Arial"/>
          <w:sz w:val="24"/>
          <w:szCs w:val="24"/>
        </w:rPr>
        <w:t xml:space="preserve">– </w:t>
      </w:r>
      <w:r w:rsidRPr="00963536">
        <w:rPr>
          <w:rFonts w:ascii="Arial" w:hAnsi="Arial" w:cs="Arial"/>
          <w:sz w:val="24"/>
          <w:szCs w:val="24"/>
        </w:rPr>
        <w:t>non hanno portata deontologica: il revisore è libero di adottarli o meno, di aderirvi integralmente o</w:t>
      </w:r>
      <w:r w:rsidR="00196AB0">
        <w:rPr>
          <w:rFonts w:ascii="Arial" w:hAnsi="Arial" w:cs="Arial"/>
          <w:sz w:val="24"/>
          <w:szCs w:val="24"/>
        </w:rPr>
        <w:t xml:space="preserve"> </w:t>
      </w:r>
      <w:r w:rsidRPr="00963536">
        <w:rPr>
          <w:rFonts w:ascii="Arial" w:hAnsi="Arial" w:cs="Arial"/>
          <w:sz w:val="24"/>
          <w:szCs w:val="24"/>
        </w:rPr>
        <w:t>solo in parte, così come di adeguarli alle esigenze e specificità dell’Ente, secondo la sensibilità e le</w:t>
      </w:r>
      <w:r w:rsidR="00196AB0">
        <w:rPr>
          <w:rFonts w:ascii="Arial" w:hAnsi="Arial" w:cs="Arial"/>
          <w:sz w:val="24"/>
          <w:szCs w:val="24"/>
        </w:rPr>
        <w:t xml:space="preserve"> </w:t>
      </w:r>
      <w:r w:rsidRPr="00963536">
        <w:rPr>
          <w:rFonts w:ascii="Arial" w:hAnsi="Arial" w:cs="Arial"/>
          <w:sz w:val="24"/>
          <w:szCs w:val="24"/>
        </w:rPr>
        <w:t>valutazioni consigliate dalla diligenza e dall’esperienza professionale.</w:t>
      </w:r>
    </w:p>
    <w:p w:rsidR="00963536" w:rsidRPr="00963536" w:rsidRDefault="00963536" w:rsidP="00963536">
      <w:pPr>
        <w:jc w:val="both"/>
        <w:rPr>
          <w:rFonts w:ascii="Arial" w:hAnsi="Arial" w:cs="Arial"/>
          <w:sz w:val="24"/>
          <w:szCs w:val="24"/>
        </w:rPr>
      </w:pPr>
      <w:r w:rsidRPr="00963536">
        <w:rPr>
          <w:rFonts w:ascii="Arial" w:hAnsi="Arial" w:cs="Arial"/>
          <w:sz w:val="24"/>
          <w:szCs w:val="24"/>
        </w:rPr>
        <w:t xml:space="preserve"> </w:t>
      </w:r>
    </w:p>
    <w:p w:rsidR="00791886" w:rsidRDefault="00791886" w:rsidP="009635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Inviare le eventuali osservazioni a </w:t>
      </w:r>
      <w:hyperlink r:id="rId6" w:history="1">
        <w:r w:rsidRPr="006B561C">
          <w:rPr>
            <w:rStyle w:val="Collegamentoipertestuale"/>
            <w:rFonts w:ascii="Arial" w:hAnsi="Arial" w:cs="Arial"/>
            <w:sz w:val="24"/>
            <w:szCs w:val="24"/>
          </w:rPr>
          <w:t>consultazione@commercialisti.it</w:t>
        </w:r>
      </w:hyperlink>
      <w:r>
        <w:rPr>
          <w:rFonts w:ascii="Arial" w:hAnsi="Arial" w:cs="Arial"/>
          <w:sz w:val="24"/>
          <w:szCs w:val="24"/>
        </w:rPr>
        <w:t xml:space="preserve"> entro il 1</w:t>
      </w:r>
      <w:r w:rsidR="006C327C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luglio 2020.</w:t>
      </w:r>
    </w:p>
    <w:p w:rsidR="00BE76C1" w:rsidRDefault="00BE76C1" w:rsidP="00791886">
      <w:pPr>
        <w:jc w:val="both"/>
        <w:rPr>
          <w:rFonts w:ascii="Arial" w:hAnsi="Arial" w:cs="Arial"/>
          <w:sz w:val="24"/>
          <w:szCs w:val="24"/>
        </w:rPr>
      </w:pPr>
    </w:p>
    <w:p w:rsidR="00BE76C1" w:rsidRPr="00BE76C1" w:rsidRDefault="00BE76C1" w:rsidP="00BE76C1">
      <w:pPr>
        <w:rPr>
          <w:rFonts w:ascii="Arial" w:hAnsi="Arial" w:cs="Arial"/>
          <w:b/>
          <w:sz w:val="20"/>
          <w:szCs w:val="20"/>
        </w:rPr>
      </w:pPr>
      <w:r w:rsidRPr="00BE76C1">
        <w:rPr>
          <w:rFonts w:ascii="Arial" w:hAnsi="Arial" w:cs="Arial"/>
          <w:b/>
          <w:sz w:val="20"/>
          <w:szCs w:val="20"/>
        </w:rPr>
        <w:t>--</w:t>
      </w:r>
    </w:p>
    <w:p w:rsidR="00BE76C1" w:rsidRPr="00BE76C1" w:rsidRDefault="00BE76C1" w:rsidP="00BE76C1">
      <w:pPr>
        <w:rPr>
          <w:rFonts w:ascii="Arial" w:hAnsi="Arial" w:cs="Arial"/>
          <w:b/>
          <w:sz w:val="20"/>
          <w:szCs w:val="20"/>
        </w:rPr>
      </w:pPr>
      <w:r w:rsidRPr="00BE76C1">
        <w:rPr>
          <w:rFonts w:ascii="Arial" w:hAnsi="Arial" w:cs="Arial"/>
          <w:b/>
          <w:sz w:val="20"/>
          <w:szCs w:val="20"/>
        </w:rPr>
        <w:t>Ufficio stampa Consiglio Nazionale dei Dottori Commercialisti</w:t>
      </w:r>
    </w:p>
    <w:p w:rsidR="00BE76C1" w:rsidRPr="00BE76C1" w:rsidRDefault="00BE76C1" w:rsidP="00BE76C1">
      <w:pPr>
        <w:rPr>
          <w:rFonts w:ascii="Arial" w:hAnsi="Arial" w:cs="Arial"/>
          <w:b/>
          <w:sz w:val="20"/>
          <w:szCs w:val="20"/>
        </w:rPr>
      </w:pPr>
      <w:r w:rsidRPr="00BE76C1">
        <w:rPr>
          <w:rFonts w:ascii="Arial" w:hAnsi="Arial" w:cs="Arial"/>
          <w:b/>
          <w:sz w:val="20"/>
          <w:szCs w:val="20"/>
        </w:rPr>
        <w:t>e degli Esperti Contabili</w:t>
      </w:r>
    </w:p>
    <w:p w:rsidR="00BE76C1" w:rsidRPr="00BE76C1" w:rsidRDefault="00BE76C1" w:rsidP="00BE76C1">
      <w:pPr>
        <w:rPr>
          <w:rFonts w:asciiTheme="minorHAnsi" w:hAnsiTheme="minorHAnsi" w:cstheme="minorBidi"/>
          <w:sz w:val="20"/>
          <w:szCs w:val="20"/>
        </w:rPr>
      </w:pPr>
      <w:r w:rsidRPr="00BE76C1">
        <w:rPr>
          <w:rFonts w:ascii="Arial" w:hAnsi="Arial" w:cs="Arial"/>
          <w:sz w:val="20"/>
          <w:szCs w:val="20"/>
        </w:rPr>
        <w:t>Tiziana Mastrogiacomo</w:t>
      </w:r>
    </w:p>
    <w:p w:rsidR="00BE76C1" w:rsidRPr="00BE76C1" w:rsidRDefault="00BE76C1" w:rsidP="00BE76C1">
      <w:pPr>
        <w:rPr>
          <w:rFonts w:ascii="Arial" w:hAnsi="Arial" w:cs="Arial"/>
          <w:sz w:val="20"/>
          <w:szCs w:val="20"/>
        </w:rPr>
      </w:pPr>
      <w:r w:rsidRPr="00BE76C1">
        <w:rPr>
          <w:rFonts w:ascii="Arial" w:hAnsi="Arial" w:cs="Arial"/>
          <w:sz w:val="20"/>
          <w:szCs w:val="20"/>
        </w:rPr>
        <w:t>mastrogiacomo@commercialisti.it</w:t>
      </w:r>
    </w:p>
    <w:p w:rsidR="00BE76C1" w:rsidRPr="00BE76C1" w:rsidRDefault="00BE76C1" w:rsidP="00BE76C1">
      <w:pPr>
        <w:rPr>
          <w:rFonts w:ascii="Arial" w:hAnsi="Arial" w:cs="Arial"/>
          <w:sz w:val="20"/>
          <w:szCs w:val="20"/>
        </w:rPr>
      </w:pPr>
      <w:r w:rsidRPr="00BE76C1">
        <w:rPr>
          <w:rFonts w:ascii="Arial" w:eastAsiaTheme="minorEastAsia" w:hAnsi="Arial" w:cs="Arial"/>
          <w:sz w:val="20"/>
          <w:szCs w:val="20"/>
          <w:lang w:eastAsia="it-IT"/>
        </w:rPr>
        <w:t>06.47863623</w:t>
      </w:r>
    </w:p>
    <w:sectPr w:rsidR="00BE76C1" w:rsidRPr="00BE76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572" w:rsidRDefault="00AB0572" w:rsidP="00791886">
      <w:r>
        <w:separator/>
      </w:r>
    </w:p>
  </w:endnote>
  <w:endnote w:type="continuationSeparator" w:id="0">
    <w:p w:rsidR="00AB0572" w:rsidRDefault="00AB0572" w:rsidP="0079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6C1" w:rsidRDefault="00BE76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6C1" w:rsidRDefault="00BE76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6C1" w:rsidRDefault="00BE76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572" w:rsidRDefault="00AB0572" w:rsidP="00791886">
      <w:r>
        <w:separator/>
      </w:r>
    </w:p>
  </w:footnote>
  <w:footnote w:type="continuationSeparator" w:id="0">
    <w:p w:rsidR="00AB0572" w:rsidRDefault="00AB0572" w:rsidP="00791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6C1" w:rsidRDefault="00BE76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886" w:rsidRDefault="00791886">
    <w:pPr>
      <w:pStyle w:val="Intestazione"/>
    </w:pPr>
  </w:p>
  <w:p w:rsidR="00791886" w:rsidRDefault="00D43188">
    <w:pPr>
      <w:pStyle w:val="Intestazione"/>
    </w:pPr>
    <w:r w:rsidRPr="00A945F8">
      <w:rPr>
        <w:noProof/>
      </w:rPr>
      <w:drawing>
        <wp:inline distT="0" distB="0" distL="0" distR="0" wp14:anchorId="7B0E2CC9" wp14:editId="69D916F3">
          <wp:extent cx="6120130" cy="970915"/>
          <wp:effectExtent l="0" t="0" r="0" b="635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1886" w:rsidRDefault="007918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6C1" w:rsidRDefault="00BE76C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12"/>
    <w:rsid w:val="0005641C"/>
    <w:rsid w:val="00127F9A"/>
    <w:rsid w:val="00196AB0"/>
    <w:rsid w:val="00413312"/>
    <w:rsid w:val="004737B3"/>
    <w:rsid w:val="004D0D84"/>
    <w:rsid w:val="005135CD"/>
    <w:rsid w:val="005E4E8D"/>
    <w:rsid w:val="006503A0"/>
    <w:rsid w:val="006C327C"/>
    <w:rsid w:val="00751FA7"/>
    <w:rsid w:val="00791886"/>
    <w:rsid w:val="00794790"/>
    <w:rsid w:val="007A0625"/>
    <w:rsid w:val="0083256E"/>
    <w:rsid w:val="00835C92"/>
    <w:rsid w:val="00963536"/>
    <w:rsid w:val="009F73FE"/>
    <w:rsid w:val="00AB0572"/>
    <w:rsid w:val="00BE76C1"/>
    <w:rsid w:val="00C52873"/>
    <w:rsid w:val="00D43188"/>
    <w:rsid w:val="00E0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787A"/>
  <w15:chartTrackingRefBased/>
  <w15:docId w15:val="{E60D6314-0357-4970-BCC6-C3DE35D4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413312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18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886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918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886"/>
    <w:rPr>
      <w:rFonts w:ascii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7918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1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tazione@commercialisti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19</cp:revision>
  <dcterms:created xsi:type="dcterms:W3CDTF">2020-06-15T14:02:00Z</dcterms:created>
  <dcterms:modified xsi:type="dcterms:W3CDTF">2020-06-22T08:20:00Z</dcterms:modified>
</cp:coreProperties>
</file>