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BDE7" w14:textId="77777777" w:rsidR="000C234E" w:rsidRDefault="000C234E" w:rsidP="00E15D18">
      <w:pPr>
        <w:spacing w:after="0" w:line="240" w:lineRule="auto"/>
        <w:jc w:val="center"/>
        <w:rPr>
          <w:rFonts w:ascii="Arial" w:hAnsi="Arial" w:cs="Arial"/>
          <w:b/>
          <w:bCs/>
        </w:rPr>
      </w:pPr>
    </w:p>
    <w:p w14:paraId="1F3593F1" w14:textId="77777777" w:rsidR="00E15D18" w:rsidRDefault="00E15D18" w:rsidP="00E15D18">
      <w:pPr>
        <w:pStyle w:val="elementtoproof"/>
        <w:jc w:val="center"/>
      </w:pPr>
      <w:r>
        <w:rPr>
          <w:rFonts w:ascii="Arial" w:hAnsi="Arial" w:cs="Arial"/>
          <w:b/>
          <w:bCs/>
          <w:color w:val="000000"/>
        </w:rPr>
        <w:t> </w:t>
      </w:r>
      <w:r>
        <w:rPr>
          <w:rFonts w:ascii="Arial" w:hAnsi="Arial" w:cs="Arial"/>
          <w:b/>
          <w:bCs/>
          <w:color w:val="000000"/>
          <w:u w:val="single"/>
        </w:rPr>
        <w:t>Comunicato stampa</w:t>
      </w:r>
    </w:p>
    <w:p w14:paraId="65793926" w14:textId="77777777" w:rsidR="00E15D18" w:rsidRDefault="00E15D18" w:rsidP="00E15D18">
      <w:pPr>
        <w:pStyle w:val="NormaleWeb"/>
        <w:jc w:val="center"/>
      </w:pPr>
      <w:r>
        <w:rPr>
          <w:rFonts w:ascii="Arial" w:hAnsi="Arial" w:cs="Arial"/>
          <w:b/>
          <w:bCs/>
          <w:color w:val="000000"/>
        </w:rPr>
        <w:t> </w:t>
      </w:r>
    </w:p>
    <w:p w14:paraId="76925446" w14:textId="77777777" w:rsidR="00E15D18" w:rsidRDefault="00E15D18" w:rsidP="00E15D18">
      <w:pPr>
        <w:pStyle w:val="elementtoproof"/>
        <w:jc w:val="center"/>
      </w:pPr>
      <w:r>
        <w:rPr>
          <w:rFonts w:ascii="Arial" w:hAnsi="Arial" w:cs="Arial"/>
          <w:b/>
          <w:bCs/>
          <w:color w:val="000000"/>
        </w:rPr>
        <w:t>COMMERCIALISTI, DOCUMENTO SU PERIZIA E CONSULENZA TECNICA NEL PROCESSO PENALE</w:t>
      </w:r>
    </w:p>
    <w:p w14:paraId="66B7E9BA" w14:textId="77777777" w:rsidR="00E15D18" w:rsidRDefault="00E15D18" w:rsidP="00E15D18">
      <w:pPr>
        <w:pStyle w:val="elementtoproof"/>
        <w:jc w:val="center"/>
      </w:pPr>
    </w:p>
    <w:p w14:paraId="388E7EC7" w14:textId="77777777" w:rsidR="00E15D18" w:rsidRDefault="00E15D18" w:rsidP="00E15D18">
      <w:pPr>
        <w:pStyle w:val="elementtoproof"/>
        <w:jc w:val="center"/>
      </w:pPr>
      <w:r>
        <w:rPr>
          <w:rFonts w:ascii="Arial" w:hAnsi="Arial" w:cs="Arial"/>
          <w:b/>
          <w:bCs/>
          <w:color w:val="000000"/>
        </w:rPr>
        <w:t>Da Consiglio e Fondazione nazionale Ricerca della categoria un approfondimento sulle modalità di nomina e sull’oggetto delle attività dei consulenti tecnici</w:t>
      </w:r>
    </w:p>
    <w:p w14:paraId="4DA27BF2" w14:textId="77777777" w:rsidR="00E15D18" w:rsidRDefault="00E15D18" w:rsidP="00E15D18">
      <w:pPr>
        <w:pStyle w:val="elementtoproof"/>
        <w:jc w:val="center"/>
      </w:pPr>
    </w:p>
    <w:p w14:paraId="4612F106" w14:textId="77777777" w:rsidR="00E15D18" w:rsidRDefault="00E15D18" w:rsidP="00E15D18">
      <w:pPr>
        <w:pStyle w:val="NormaleWeb"/>
        <w:jc w:val="both"/>
        <w:rPr>
          <w:rFonts w:ascii="Arial" w:hAnsi="Arial" w:cs="Arial"/>
          <w:color w:val="000000"/>
        </w:rPr>
      </w:pPr>
      <w:r>
        <w:rPr>
          <w:rFonts w:ascii="Arial" w:hAnsi="Arial" w:cs="Arial"/>
          <w:i/>
          <w:iCs/>
          <w:color w:val="000000"/>
        </w:rPr>
        <w:t>Roma, 16 aprile 2024 -</w:t>
      </w:r>
      <w:r>
        <w:rPr>
          <w:rFonts w:ascii="Arial" w:hAnsi="Arial" w:cs="Arial"/>
          <w:color w:val="000000"/>
        </w:rPr>
        <w:t> “</w:t>
      </w:r>
      <w:r>
        <w:rPr>
          <w:rFonts w:ascii="Arial" w:hAnsi="Arial" w:cs="Arial"/>
          <w:b/>
          <w:bCs/>
          <w:color w:val="000000"/>
        </w:rPr>
        <w:t>La perizia e la consulenza tecnica nel processo penale</w:t>
      </w:r>
      <w:r>
        <w:rPr>
          <w:rFonts w:ascii="Arial" w:hAnsi="Arial" w:cs="Arial"/>
          <w:color w:val="000000"/>
        </w:rPr>
        <w:t xml:space="preserve">” è il titolo del documento pubblicato oggi dal Consiglio nazionale e della sua Fondazione Ricerca nell’ambito delle attività dell’area di delega “Funzioni giudiziarie e ADR”, alla quale è delegata il Consigliere nazionale e segretario </w:t>
      </w:r>
      <w:r>
        <w:rPr>
          <w:rFonts w:ascii="Arial" w:hAnsi="Arial" w:cs="Arial"/>
          <w:b/>
          <w:bCs/>
          <w:color w:val="000000"/>
        </w:rPr>
        <w:t>Giovanna Greco</w:t>
      </w:r>
      <w:r>
        <w:rPr>
          <w:rFonts w:ascii="Arial" w:hAnsi="Arial" w:cs="Arial"/>
          <w:color w:val="000000"/>
        </w:rPr>
        <w:t>.</w:t>
      </w:r>
    </w:p>
    <w:p w14:paraId="4810D93B" w14:textId="77777777" w:rsidR="00E15D18" w:rsidRDefault="00E15D18" w:rsidP="00E15D18">
      <w:pPr>
        <w:pStyle w:val="NormaleWeb"/>
        <w:jc w:val="both"/>
        <w:rPr>
          <w:rFonts w:ascii="Arial" w:hAnsi="Arial" w:cs="Arial"/>
          <w:color w:val="000000"/>
        </w:rPr>
      </w:pPr>
    </w:p>
    <w:p w14:paraId="5CD54AB7" w14:textId="77777777" w:rsidR="00E15D18" w:rsidRDefault="00E15D18" w:rsidP="00E15D18">
      <w:pPr>
        <w:pStyle w:val="NormaleWeb"/>
        <w:jc w:val="both"/>
        <w:rPr>
          <w:rFonts w:ascii="Arial" w:hAnsi="Arial" w:cs="Arial"/>
          <w:color w:val="000000"/>
        </w:rPr>
      </w:pPr>
      <w:r>
        <w:rPr>
          <w:rFonts w:ascii="Arial" w:hAnsi="Arial" w:cs="Arial"/>
          <w:color w:val="000000"/>
        </w:rPr>
        <w:t xml:space="preserve">Nella premessa al lavoro dei commercialisti, elaborato dalla Commissione di studio “CTU civili e penali”, si ricorda come “in ambito penale, la </w:t>
      </w:r>
      <w:r>
        <w:rPr>
          <w:rFonts w:ascii="Arial" w:hAnsi="Arial" w:cs="Arial"/>
          <w:b/>
          <w:bCs/>
          <w:color w:val="000000"/>
        </w:rPr>
        <w:t xml:space="preserve">perizia </w:t>
      </w:r>
      <w:r>
        <w:rPr>
          <w:rFonts w:ascii="Arial" w:hAnsi="Arial" w:cs="Arial"/>
          <w:color w:val="000000"/>
        </w:rPr>
        <w:t xml:space="preserve">deve essere definita come un </w:t>
      </w:r>
      <w:r>
        <w:rPr>
          <w:rFonts w:ascii="Arial" w:hAnsi="Arial" w:cs="Arial"/>
          <w:b/>
          <w:bCs/>
          <w:color w:val="000000"/>
        </w:rPr>
        <w:t>mezzo di prova</w:t>
      </w:r>
      <w:r>
        <w:rPr>
          <w:rFonts w:ascii="Arial" w:hAnsi="Arial" w:cs="Arial"/>
          <w:color w:val="000000"/>
        </w:rPr>
        <w:t xml:space="preserve"> (disciplinata, in quanto tale, nel Libro II del codice di procedura penale, rubricato Prove, al Titolo II, dedicato appunto ai mezzi di prova), finalizzato ad integrare le conoscenze del Giudice con quelle di un esperto”.</w:t>
      </w:r>
    </w:p>
    <w:p w14:paraId="03770C21" w14:textId="77777777" w:rsidR="00E15D18" w:rsidRDefault="00E15D18" w:rsidP="00E15D18">
      <w:pPr>
        <w:pStyle w:val="NormaleWeb"/>
        <w:jc w:val="both"/>
        <w:rPr>
          <w:rFonts w:ascii="Arial" w:hAnsi="Arial" w:cs="Arial"/>
          <w:color w:val="000000"/>
        </w:rPr>
      </w:pPr>
    </w:p>
    <w:p w14:paraId="1F0FEBB2" w14:textId="77777777" w:rsidR="00E15D18" w:rsidRDefault="00E15D18" w:rsidP="00E15D18">
      <w:pPr>
        <w:pStyle w:val="NormaleWeb"/>
        <w:jc w:val="both"/>
        <w:rPr>
          <w:rFonts w:ascii="Arial" w:hAnsi="Arial" w:cs="Arial"/>
          <w:color w:val="000000"/>
        </w:rPr>
      </w:pPr>
      <w:r>
        <w:rPr>
          <w:rFonts w:ascii="Arial" w:hAnsi="Arial" w:cs="Arial"/>
          <w:color w:val="000000"/>
        </w:rPr>
        <w:t xml:space="preserve">“La perizia – scrivono i commercialisti - può essere disposta (su richiesta di parte, ovvero d’ufficio) dal </w:t>
      </w:r>
      <w:r>
        <w:rPr>
          <w:rFonts w:ascii="Arial" w:hAnsi="Arial" w:cs="Arial"/>
          <w:b/>
          <w:bCs/>
          <w:color w:val="000000"/>
        </w:rPr>
        <w:t>Giudice</w:t>
      </w:r>
      <w:r>
        <w:rPr>
          <w:rFonts w:ascii="Arial" w:hAnsi="Arial" w:cs="Arial"/>
          <w:color w:val="000000"/>
        </w:rPr>
        <w:t xml:space="preserve"> (monocratico o collegiale, ed anche dal Giudice di appello in caso di rinnovazione, anche parziale, dell’istruttoria, nonché dal GIP, nel corso delle indagini preliminari e dal GUP, nel corso dell’udienza preliminare, nei casi espressamente previsti) quando occorre compiere una valutazione per la quale siano necessarie </w:t>
      </w:r>
      <w:r>
        <w:rPr>
          <w:rFonts w:ascii="Arial" w:hAnsi="Arial" w:cs="Arial"/>
          <w:b/>
          <w:bCs/>
          <w:color w:val="000000"/>
        </w:rPr>
        <w:t>specifiche competenze tecniche, scientifiche o artistiche</w:t>
      </w:r>
      <w:r>
        <w:rPr>
          <w:rFonts w:ascii="Arial" w:hAnsi="Arial" w:cs="Arial"/>
          <w:color w:val="000000"/>
        </w:rPr>
        <w:t xml:space="preserve"> (si pensi alle perizie contabili, a quelle mediche, a quelle balistiche, a quelle in materia di sinistri stradali e simili)”. Disposta la perizia “il </w:t>
      </w:r>
      <w:r>
        <w:rPr>
          <w:rFonts w:ascii="Arial" w:hAnsi="Arial" w:cs="Arial"/>
          <w:b/>
          <w:bCs/>
          <w:color w:val="000000"/>
        </w:rPr>
        <w:t>Pubblico Ministero</w:t>
      </w:r>
      <w:r>
        <w:rPr>
          <w:rFonts w:ascii="Arial" w:hAnsi="Arial" w:cs="Arial"/>
          <w:color w:val="000000"/>
        </w:rPr>
        <w:t xml:space="preserve"> e le </w:t>
      </w:r>
      <w:r>
        <w:rPr>
          <w:rFonts w:ascii="Arial" w:hAnsi="Arial" w:cs="Arial"/>
          <w:b/>
          <w:bCs/>
          <w:color w:val="000000"/>
        </w:rPr>
        <w:t>parti private</w:t>
      </w:r>
      <w:r>
        <w:rPr>
          <w:rFonts w:ascii="Arial" w:hAnsi="Arial" w:cs="Arial"/>
          <w:color w:val="000000"/>
        </w:rPr>
        <w:t xml:space="preserve"> possono nominare propri </w:t>
      </w:r>
      <w:r>
        <w:rPr>
          <w:rFonts w:ascii="Arial" w:hAnsi="Arial" w:cs="Arial"/>
          <w:b/>
          <w:bCs/>
          <w:color w:val="000000"/>
        </w:rPr>
        <w:t>Consulenti Tecnici</w:t>
      </w:r>
      <w:r>
        <w:rPr>
          <w:rFonts w:ascii="Arial" w:hAnsi="Arial" w:cs="Arial"/>
          <w:color w:val="000000"/>
        </w:rPr>
        <w:t xml:space="preserve"> (si parla, in tal caso, di consulenza c.d. endo-peritale). La facoltà di nomina di un professionista esperto </w:t>
      </w:r>
      <w:r>
        <w:rPr>
          <w:rFonts w:ascii="Arial" w:hAnsi="Arial" w:cs="Arial"/>
          <w:b/>
          <w:bCs/>
          <w:color w:val="000000"/>
        </w:rPr>
        <w:t>è comunque riconosciuta</w:t>
      </w:r>
      <w:r>
        <w:rPr>
          <w:rFonts w:ascii="Arial" w:hAnsi="Arial" w:cs="Arial"/>
          <w:color w:val="000000"/>
        </w:rPr>
        <w:t xml:space="preserve"> alle parti anche ove non sia stata disposta una perizia e, dunque, </w:t>
      </w:r>
      <w:r>
        <w:rPr>
          <w:rFonts w:ascii="Arial" w:hAnsi="Arial" w:cs="Arial"/>
          <w:b/>
          <w:bCs/>
          <w:color w:val="000000"/>
        </w:rPr>
        <w:t>indipendentemente da essa</w:t>
      </w:r>
      <w:r>
        <w:rPr>
          <w:rFonts w:ascii="Arial" w:hAnsi="Arial" w:cs="Arial"/>
          <w:color w:val="000000"/>
        </w:rPr>
        <w:t xml:space="preserve"> (la consulenza viene usualmente indicata, in questi casi, come </w:t>
      </w:r>
      <w:r>
        <w:rPr>
          <w:rFonts w:ascii="Arial" w:hAnsi="Arial" w:cs="Arial"/>
          <w:i/>
          <w:iCs/>
          <w:color w:val="000000"/>
        </w:rPr>
        <w:t>extra</w:t>
      </w:r>
      <w:r>
        <w:rPr>
          <w:rFonts w:ascii="Arial" w:hAnsi="Arial" w:cs="Arial"/>
          <w:color w:val="000000"/>
        </w:rPr>
        <w:t>-peritale)”.</w:t>
      </w:r>
    </w:p>
    <w:p w14:paraId="4E365BDC" w14:textId="77777777" w:rsidR="00E15D18" w:rsidRDefault="00E15D18" w:rsidP="00E15D18">
      <w:pPr>
        <w:pStyle w:val="NormaleWeb"/>
        <w:jc w:val="both"/>
        <w:rPr>
          <w:rFonts w:ascii="Arial" w:hAnsi="Arial" w:cs="Arial"/>
          <w:color w:val="000000"/>
        </w:rPr>
      </w:pPr>
    </w:p>
    <w:p w14:paraId="476D5FDE" w14:textId="40D1DDCA" w:rsidR="00E15D18" w:rsidRDefault="00E15D18" w:rsidP="00E15D18">
      <w:pPr>
        <w:pStyle w:val="NormaleWeb"/>
        <w:jc w:val="both"/>
      </w:pPr>
      <w:r>
        <w:rPr>
          <w:rFonts w:ascii="Arial" w:hAnsi="Arial" w:cs="Arial"/>
          <w:color w:val="000000"/>
        </w:rPr>
        <w:t>“L’</w:t>
      </w:r>
      <w:r>
        <w:rPr>
          <w:rFonts w:ascii="Arial" w:hAnsi="Arial" w:cs="Arial"/>
          <w:b/>
          <w:bCs/>
          <w:color w:val="000000"/>
        </w:rPr>
        <w:t>oggetto</w:t>
      </w:r>
      <w:r>
        <w:rPr>
          <w:rFonts w:ascii="Arial" w:hAnsi="Arial" w:cs="Arial"/>
          <w:color w:val="000000"/>
        </w:rPr>
        <w:t xml:space="preserve"> delle attività tecniche di periti e consulenti e le formalità per la nomina di questi – concludono - sono disciplinati dal </w:t>
      </w:r>
      <w:r>
        <w:rPr>
          <w:rFonts w:ascii="Arial" w:hAnsi="Arial" w:cs="Arial"/>
          <w:b/>
          <w:bCs/>
          <w:color w:val="000000"/>
        </w:rPr>
        <w:t xml:space="preserve">codice di rito </w:t>
      </w:r>
      <w:r>
        <w:rPr>
          <w:rFonts w:ascii="Arial" w:hAnsi="Arial" w:cs="Arial"/>
          <w:color w:val="000000"/>
        </w:rPr>
        <w:t>negli articoli da 220 a 232. Con specifico riferimento al consulente tecnico (ad esempio, e tra l’altro, in ordine al numero, alle formalità per la loro nomina e alle incompatibilità), il Codice rimanda alle disposizioni relative al perito. La normativa codicistica è, dunque, incentrata sulla perizia”.</w:t>
      </w:r>
    </w:p>
    <w:p w14:paraId="490776E8" w14:textId="56EB62AE" w:rsidR="00330260" w:rsidRDefault="00330260" w:rsidP="00E15D18">
      <w:pPr>
        <w:spacing w:after="0" w:line="240" w:lineRule="auto"/>
        <w:jc w:val="center"/>
        <w:rPr>
          <w:rFonts w:ascii="Arial" w:hAnsi="Arial" w:cs="Arial"/>
        </w:rPr>
      </w:pPr>
    </w:p>
    <w:sectPr w:rsidR="0033026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ABB0" w14:textId="77777777" w:rsidR="00F57522" w:rsidRDefault="00F57522" w:rsidP="00E5308A">
      <w:pPr>
        <w:spacing w:after="0" w:line="240" w:lineRule="auto"/>
      </w:pPr>
      <w:r>
        <w:separator/>
      </w:r>
    </w:p>
  </w:endnote>
  <w:endnote w:type="continuationSeparator" w:id="0">
    <w:p w14:paraId="5C71DF53" w14:textId="77777777" w:rsidR="00F57522" w:rsidRDefault="00F57522" w:rsidP="00E5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4637" w14:textId="77777777" w:rsidR="00F57522" w:rsidRDefault="00F57522" w:rsidP="00E5308A">
      <w:pPr>
        <w:spacing w:after="0" w:line="240" w:lineRule="auto"/>
      </w:pPr>
      <w:r>
        <w:separator/>
      </w:r>
    </w:p>
  </w:footnote>
  <w:footnote w:type="continuationSeparator" w:id="0">
    <w:p w14:paraId="1FF398E5" w14:textId="77777777" w:rsidR="00F57522" w:rsidRDefault="00F57522" w:rsidP="00E5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5E79" w14:textId="62DFB658" w:rsidR="00E5308A" w:rsidRDefault="00E5308A" w:rsidP="00E5308A">
    <w:pPr>
      <w:pStyle w:val="Intestazione"/>
      <w:jc w:val="center"/>
    </w:pPr>
    <w:r>
      <w:rPr>
        <w:noProof/>
      </w:rPr>
      <w:drawing>
        <wp:inline distT="0" distB="0" distL="0" distR="0" wp14:anchorId="3B633406" wp14:editId="67CF8CCA">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9D4"/>
    <w:multiLevelType w:val="hybridMultilevel"/>
    <w:tmpl w:val="AB5EBD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636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B9"/>
    <w:rsid w:val="00022350"/>
    <w:rsid w:val="000C234E"/>
    <w:rsid w:val="000F6D46"/>
    <w:rsid w:val="0014234B"/>
    <w:rsid w:val="003013CB"/>
    <w:rsid w:val="0032777B"/>
    <w:rsid w:val="00330260"/>
    <w:rsid w:val="00371907"/>
    <w:rsid w:val="0037537C"/>
    <w:rsid w:val="003E6F94"/>
    <w:rsid w:val="004334AA"/>
    <w:rsid w:val="00537349"/>
    <w:rsid w:val="00552C36"/>
    <w:rsid w:val="005B2FB9"/>
    <w:rsid w:val="006135F4"/>
    <w:rsid w:val="006434AF"/>
    <w:rsid w:val="00753EFA"/>
    <w:rsid w:val="007964BD"/>
    <w:rsid w:val="007B4CC4"/>
    <w:rsid w:val="007C0C16"/>
    <w:rsid w:val="00863106"/>
    <w:rsid w:val="008D7BA7"/>
    <w:rsid w:val="00955F84"/>
    <w:rsid w:val="00962CF1"/>
    <w:rsid w:val="00971D69"/>
    <w:rsid w:val="009D64A2"/>
    <w:rsid w:val="00A83F79"/>
    <w:rsid w:val="00AE05A2"/>
    <w:rsid w:val="00B17FEF"/>
    <w:rsid w:val="00B62766"/>
    <w:rsid w:val="00C5074F"/>
    <w:rsid w:val="00C90D7E"/>
    <w:rsid w:val="00CD26F1"/>
    <w:rsid w:val="00DB331B"/>
    <w:rsid w:val="00DD0EC1"/>
    <w:rsid w:val="00E15D18"/>
    <w:rsid w:val="00E16AD7"/>
    <w:rsid w:val="00E5308A"/>
    <w:rsid w:val="00ED211B"/>
    <w:rsid w:val="00EE108F"/>
    <w:rsid w:val="00F463CA"/>
    <w:rsid w:val="00F575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4D39"/>
  <w15:chartTrackingRefBased/>
  <w15:docId w15:val="{3C770479-BAC9-45BD-B7B8-35B2D471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2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2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B2FB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2FB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2FB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2FB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2FB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2FB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2FB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2FB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2FB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B2FB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2FB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2FB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2F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2F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2F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2F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2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2F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2F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2F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2F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2FB9"/>
    <w:rPr>
      <w:i/>
      <w:iCs/>
      <w:color w:val="404040" w:themeColor="text1" w:themeTint="BF"/>
    </w:rPr>
  </w:style>
  <w:style w:type="paragraph" w:styleId="Paragrafoelenco">
    <w:name w:val="List Paragraph"/>
    <w:basedOn w:val="Normale"/>
    <w:uiPriority w:val="34"/>
    <w:qFormat/>
    <w:rsid w:val="005B2FB9"/>
    <w:pPr>
      <w:ind w:left="720"/>
      <w:contextualSpacing/>
    </w:pPr>
  </w:style>
  <w:style w:type="character" w:styleId="Enfasiintensa">
    <w:name w:val="Intense Emphasis"/>
    <w:basedOn w:val="Carpredefinitoparagrafo"/>
    <w:uiPriority w:val="21"/>
    <w:qFormat/>
    <w:rsid w:val="005B2FB9"/>
    <w:rPr>
      <w:i/>
      <w:iCs/>
      <w:color w:val="0F4761" w:themeColor="accent1" w:themeShade="BF"/>
    </w:rPr>
  </w:style>
  <w:style w:type="paragraph" w:styleId="Citazioneintensa">
    <w:name w:val="Intense Quote"/>
    <w:basedOn w:val="Normale"/>
    <w:next w:val="Normale"/>
    <w:link w:val="CitazioneintensaCarattere"/>
    <w:uiPriority w:val="30"/>
    <w:qFormat/>
    <w:rsid w:val="005B2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2FB9"/>
    <w:rPr>
      <w:i/>
      <w:iCs/>
      <w:color w:val="0F4761" w:themeColor="accent1" w:themeShade="BF"/>
    </w:rPr>
  </w:style>
  <w:style w:type="character" w:styleId="Riferimentointenso">
    <w:name w:val="Intense Reference"/>
    <w:basedOn w:val="Carpredefinitoparagrafo"/>
    <w:uiPriority w:val="32"/>
    <w:qFormat/>
    <w:rsid w:val="005B2FB9"/>
    <w:rPr>
      <w:b/>
      <w:bCs/>
      <w:smallCaps/>
      <w:color w:val="0F4761" w:themeColor="accent1" w:themeShade="BF"/>
      <w:spacing w:val="5"/>
    </w:rPr>
  </w:style>
  <w:style w:type="paragraph" w:styleId="Intestazione">
    <w:name w:val="header"/>
    <w:basedOn w:val="Normale"/>
    <w:link w:val="IntestazioneCarattere"/>
    <w:uiPriority w:val="99"/>
    <w:unhideWhenUsed/>
    <w:rsid w:val="00E530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308A"/>
  </w:style>
  <w:style w:type="paragraph" w:styleId="Pidipagina">
    <w:name w:val="footer"/>
    <w:basedOn w:val="Normale"/>
    <w:link w:val="PidipaginaCarattere"/>
    <w:uiPriority w:val="99"/>
    <w:unhideWhenUsed/>
    <w:rsid w:val="00E530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308A"/>
  </w:style>
  <w:style w:type="paragraph" w:styleId="NormaleWeb">
    <w:name w:val="Normal (Web)"/>
    <w:basedOn w:val="Normale"/>
    <w:uiPriority w:val="99"/>
    <w:unhideWhenUsed/>
    <w:rsid w:val="00E15D18"/>
    <w:pPr>
      <w:spacing w:after="0" w:line="240" w:lineRule="auto"/>
    </w:pPr>
    <w:rPr>
      <w:rFonts w:ascii="Aptos" w:hAnsi="Aptos" w:cs="Aptos"/>
      <w:kern w:val="0"/>
      <w:lang w:eastAsia="it-IT"/>
      <w14:ligatures w14:val="none"/>
    </w:rPr>
  </w:style>
  <w:style w:type="paragraph" w:customStyle="1" w:styleId="elementtoproof">
    <w:name w:val="elementtoproof"/>
    <w:basedOn w:val="Normale"/>
    <w:uiPriority w:val="99"/>
    <w:semiHidden/>
    <w:rsid w:val="00E15D18"/>
    <w:pPr>
      <w:spacing w:after="0" w:line="240" w:lineRule="auto"/>
    </w:pPr>
    <w:rPr>
      <w:rFonts w:ascii="Aptos" w:hAnsi="Aptos" w:cs="Aptos"/>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90421">
      <w:bodyDiv w:val="1"/>
      <w:marLeft w:val="0"/>
      <w:marRight w:val="0"/>
      <w:marTop w:val="0"/>
      <w:marBottom w:val="0"/>
      <w:divBdr>
        <w:top w:val="none" w:sz="0" w:space="0" w:color="auto"/>
        <w:left w:val="none" w:sz="0" w:space="0" w:color="auto"/>
        <w:bottom w:val="none" w:sz="0" w:space="0" w:color="auto"/>
        <w:right w:val="none" w:sz="0" w:space="0" w:color="auto"/>
      </w:divBdr>
    </w:div>
    <w:div w:id="15497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cp:lastPrinted>2024-04-17T15:50:00Z</cp:lastPrinted>
  <dcterms:created xsi:type="dcterms:W3CDTF">2024-04-18T10:53:00Z</dcterms:created>
  <dcterms:modified xsi:type="dcterms:W3CDTF">2024-04-18T10:54:00Z</dcterms:modified>
</cp:coreProperties>
</file>