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298B" w14:textId="6248602B" w:rsidR="00A06F8E" w:rsidRPr="004725DA" w:rsidRDefault="00A06F8E" w:rsidP="009A3EB5">
      <w:pPr>
        <w:pStyle w:val="xmsonormal0"/>
        <w:shd w:val="clear" w:color="auto" w:fill="FFFFFF"/>
        <w:jc w:val="center"/>
        <w:rPr>
          <w:rFonts w:ascii="Arial" w:hAnsi="Arial" w:cs="Arial"/>
          <w:color w:val="000000"/>
          <w:sz w:val="24"/>
          <w:szCs w:val="24"/>
          <w:u w:val="single"/>
          <w:bdr w:val="none" w:sz="0" w:space="0" w:color="auto" w:frame="1"/>
        </w:rPr>
      </w:pPr>
    </w:p>
    <w:p w14:paraId="49C9E57E" w14:textId="4BDBC793" w:rsidR="009A3EB5" w:rsidRDefault="009A3EB5" w:rsidP="009A3EB5">
      <w:pPr>
        <w:pStyle w:val="xmsonormal0"/>
        <w:shd w:val="clear" w:color="auto" w:fill="FFFFFF"/>
        <w:jc w:val="center"/>
        <w:rPr>
          <w:rFonts w:ascii="Times New Roman" w:hAnsi="Times New Roman" w:cs="Times New Roman"/>
          <w:color w:val="000000"/>
          <w:sz w:val="24"/>
          <w:szCs w:val="24"/>
        </w:rPr>
      </w:pPr>
      <w:bookmarkStart w:id="0" w:name="_Hlk114743328"/>
      <w:r>
        <w:rPr>
          <w:rFonts w:ascii="Arial" w:hAnsi="Arial" w:cs="Arial"/>
          <w:b/>
          <w:bCs/>
          <w:color w:val="000000"/>
          <w:sz w:val="24"/>
          <w:szCs w:val="24"/>
          <w:u w:val="single"/>
          <w:bdr w:val="none" w:sz="0" w:space="0" w:color="auto" w:frame="1"/>
        </w:rPr>
        <w:t>Comunicato stampa</w:t>
      </w:r>
      <w:r>
        <w:rPr>
          <w:rFonts w:ascii="Times New Roman" w:hAnsi="Times New Roman" w:cs="Times New Roman"/>
          <w:color w:val="000000"/>
          <w:sz w:val="24"/>
          <w:szCs w:val="24"/>
        </w:rPr>
        <w:t> </w:t>
      </w:r>
    </w:p>
    <w:p w14:paraId="61760257" w14:textId="377F6FA0" w:rsidR="009A3EB5" w:rsidRDefault="009A3EB5" w:rsidP="009A3EB5">
      <w:pPr>
        <w:pStyle w:val="xmsonormal0"/>
        <w:shd w:val="clear" w:color="auto" w:fill="FFFFFF"/>
        <w:jc w:val="center"/>
        <w:rPr>
          <w:rFonts w:ascii="Times New Roman" w:hAnsi="Times New Roman" w:cs="Times New Roman"/>
          <w:color w:val="000000"/>
          <w:sz w:val="24"/>
          <w:szCs w:val="24"/>
        </w:rPr>
      </w:pPr>
    </w:p>
    <w:bookmarkEnd w:id="0"/>
    <w:p w14:paraId="2DD82FBC" w14:textId="77777777" w:rsidR="004E692D" w:rsidRPr="00A448CE" w:rsidRDefault="004E692D" w:rsidP="00A448CE">
      <w:pPr>
        <w:jc w:val="center"/>
        <w:rPr>
          <w:rFonts w:ascii="Arial" w:hAnsi="Arial" w:cs="Arial"/>
          <w:b/>
          <w:bCs/>
        </w:rPr>
      </w:pPr>
    </w:p>
    <w:p w14:paraId="1ADCAA7C" w14:textId="1A6BEB59" w:rsidR="00362213" w:rsidRPr="00362213" w:rsidRDefault="00362213" w:rsidP="006C7357">
      <w:pPr>
        <w:pStyle w:val="NormaleWeb"/>
        <w:shd w:val="clear" w:color="auto" w:fill="FFFFFF"/>
        <w:jc w:val="center"/>
        <w:rPr>
          <w:rFonts w:ascii="Arial" w:hAnsi="Arial" w:cs="Arial"/>
          <w:color w:val="000000"/>
          <w:bdr w:val="none" w:sz="0" w:space="0" w:color="auto" w:frame="1"/>
          <w:shd w:val="clear" w:color="auto" w:fill="FFFFFF"/>
        </w:rPr>
      </w:pPr>
      <w:r w:rsidRPr="00362213">
        <w:rPr>
          <w:rFonts w:ascii="Arial" w:hAnsi="Arial" w:cs="Arial"/>
          <w:b/>
          <w:bCs/>
          <w:color w:val="000000"/>
          <w:bdr w:val="none" w:sz="0" w:space="0" w:color="auto" w:frame="1"/>
          <w:shd w:val="clear" w:color="auto" w:fill="FFFFFF"/>
        </w:rPr>
        <w:t>I nuovi dati dell’Osservatorio sui bilanci 2020 delle Società di capitali nel report del Consiglio e dalla Fondazione Nazionale dei Commercialisti</w:t>
      </w:r>
    </w:p>
    <w:p w14:paraId="1E85280C" w14:textId="393082E2" w:rsidR="00362213" w:rsidRPr="00362213" w:rsidRDefault="00362213" w:rsidP="006C7357">
      <w:pPr>
        <w:pStyle w:val="NormaleWeb"/>
        <w:shd w:val="clear" w:color="auto" w:fill="FFFFFF"/>
        <w:jc w:val="center"/>
        <w:rPr>
          <w:rFonts w:ascii="Arial" w:hAnsi="Arial" w:cs="Arial"/>
          <w:color w:val="000000"/>
          <w:bdr w:val="none" w:sz="0" w:space="0" w:color="auto" w:frame="1"/>
          <w:shd w:val="clear" w:color="auto" w:fill="FFFFFF"/>
        </w:rPr>
      </w:pPr>
    </w:p>
    <w:p w14:paraId="755E1565" w14:textId="4CCCC251" w:rsidR="00362213" w:rsidRPr="00362213" w:rsidRDefault="00362213" w:rsidP="006C7357">
      <w:pPr>
        <w:pStyle w:val="NormaleWeb"/>
        <w:shd w:val="clear" w:color="auto" w:fill="FFFFFF"/>
        <w:jc w:val="center"/>
        <w:rPr>
          <w:rFonts w:ascii="Arial" w:hAnsi="Arial" w:cs="Arial"/>
          <w:color w:val="000000"/>
          <w:bdr w:val="none" w:sz="0" w:space="0" w:color="auto" w:frame="1"/>
          <w:shd w:val="clear" w:color="auto" w:fill="FFFFFF"/>
        </w:rPr>
      </w:pPr>
      <w:r w:rsidRPr="00362213">
        <w:rPr>
          <w:rStyle w:val="xcontentpasted0"/>
          <w:rFonts w:ascii="Arial" w:hAnsi="Arial" w:cs="Arial"/>
          <w:b/>
          <w:bCs/>
          <w:color w:val="000000"/>
          <w:bdr w:val="none" w:sz="0" w:space="0" w:color="auto" w:frame="1"/>
          <w:shd w:val="clear" w:color="auto" w:fill="FFFFFF"/>
        </w:rPr>
        <w:t>I BILANCI DELLE IMPRESE NELL'ANNO PANDEMICO:</w:t>
      </w:r>
      <w:r w:rsidRPr="00362213">
        <w:rPr>
          <w:rStyle w:val="xcontentpasted0"/>
          <w:rFonts w:ascii="Arial" w:hAnsi="Arial" w:cs="Arial"/>
          <w:color w:val="000000"/>
          <w:bdr w:val="none" w:sz="0" w:space="0" w:color="auto" w:frame="1"/>
          <w:shd w:val="clear" w:color="auto" w:fill="FFFFFF"/>
        </w:rPr>
        <w:t> </w:t>
      </w:r>
      <w:r w:rsidRPr="00362213">
        <w:rPr>
          <w:rFonts w:ascii="Arial" w:hAnsi="Arial" w:cs="Arial"/>
          <w:b/>
          <w:bCs/>
          <w:color w:val="000000"/>
          <w:bdr w:val="none" w:sz="0" w:space="0" w:color="auto" w:frame="1"/>
          <w:shd w:val="clear" w:color="auto" w:fill="FFFFFF"/>
        </w:rPr>
        <w:t>IL CALO DEL FATTURATO (10,1%) COLPISCE GLI UTILI (24,1%) E PORTA LE IMPRESE IN PERDITA AL 34,1%</w:t>
      </w:r>
    </w:p>
    <w:p w14:paraId="3567B702" w14:textId="77777777" w:rsidR="00362213" w:rsidRPr="00362213" w:rsidRDefault="00362213" w:rsidP="006C7357">
      <w:pPr>
        <w:pStyle w:val="NormaleWeb"/>
        <w:shd w:val="clear" w:color="auto" w:fill="FFFFFF"/>
        <w:jc w:val="center"/>
        <w:rPr>
          <w:rFonts w:ascii="Arial" w:hAnsi="Arial" w:cs="Arial"/>
          <w:color w:val="000000"/>
          <w:bdr w:val="none" w:sz="0" w:space="0" w:color="auto" w:frame="1"/>
          <w:shd w:val="clear" w:color="auto" w:fill="FFFFFF"/>
        </w:rPr>
      </w:pPr>
    </w:p>
    <w:p w14:paraId="66E4902E" w14:textId="77777777" w:rsidR="00362213" w:rsidRPr="00362213" w:rsidRDefault="00362213" w:rsidP="006C7357">
      <w:pPr>
        <w:pStyle w:val="NormaleWeb"/>
        <w:shd w:val="clear" w:color="auto" w:fill="FFFFFF"/>
        <w:jc w:val="center"/>
        <w:rPr>
          <w:rFonts w:ascii="Arial" w:hAnsi="Arial" w:cs="Arial"/>
          <w:color w:val="000000"/>
          <w:bdr w:val="none" w:sz="0" w:space="0" w:color="auto" w:frame="1"/>
          <w:shd w:val="clear" w:color="auto" w:fill="FFFFFF"/>
        </w:rPr>
      </w:pPr>
      <w:r w:rsidRPr="00362213">
        <w:rPr>
          <w:rFonts w:ascii="Arial" w:hAnsi="Arial" w:cs="Arial"/>
          <w:b/>
          <w:bCs/>
          <w:color w:val="000000"/>
          <w:bdr w:val="none" w:sz="0" w:space="0" w:color="auto" w:frame="1"/>
          <w:shd w:val="clear" w:color="auto" w:fill="FFFFFF"/>
        </w:rPr>
        <w:t>Imprese resilienti grazie al contenimento dei costi e bilanci protetti dalla normativa anti covid, ma gli aiuti sono risultati eccessivamente diluiti</w:t>
      </w:r>
    </w:p>
    <w:p w14:paraId="697C2759" w14:textId="77777777" w:rsidR="00362213" w:rsidRPr="00362213" w:rsidRDefault="00362213" w:rsidP="00362213">
      <w:pPr>
        <w:pStyle w:val="NormaleWeb"/>
        <w:shd w:val="clear" w:color="auto" w:fill="FFFFFF"/>
        <w:jc w:val="both"/>
        <w:rPr>
          <w:rFonts w:ascii="Arial" w:hAnsi="Arial" w:cs="Arial"/>
          <w:color w:val="000000"/>
          <w:bdr w:val="none" w:sz="0" w:space="0" w:color="auto" w:frame="1"/>
          <w:shd w:val="clear" w:color="auto" w:fill="FFFFFF"/>
        </w:rPr>
      </w:pPr>
      <w:r w:rsidRPr="00362213">
        <w:rPr>
          <w:rStyle w:val="xcontentpasted0"/>
          <w:rFonts w:ascii="Arial" w:hAnsi="Arial" w:cs="Arial"/>
          <w:color w:val="000000"/>
          <w:bdr w:val="none" w:sz="0" w:space="0" w:color="auto" w:frame="1"/>
          <w:shd w:val="clear" w:color="auto" w:fill="FFFFFF"/>
        </w:rPr>
        <w:t> </w:t>
      </w:r>
    </w:p>
    <w:p w14:paraId="3F7FD9B3" w14:textId="4DC66AE5" w:rsidR="003C4E6F" w:rsidRDefault="00362213" w:rsidP="00362213">
      <w:pPr>
        <w:pStyle w:val="NormaleWeb"/>
        <w:shd w:val="clear" w:color="auto" w:fill="FFFFFF"/>
        <w:jc w:val="both"/>
        <w:rPr>
          <w:rFonts w:ascii="Arial" w:hAnsi="Arial" w:cs="Arial"/>
          <w:color w:val="000000"/>
          <w:bdr w:val="none" w:sz="0" w:space="0" w:color="auto" w:frame="1"/>
          <w:shd w:val="clear" w:color="auto" w:fill="FFFFFF"/>
        </w:rPr>
      </w:pPr>
      <w:r w:rsidRPr="004725DA">
        <w:rPr>
          <w:rStyle w:val="xcontentpasted0"/>
          <w:rFonts w:ascii="Arial" w:hAnsi="Arial" w:cs="Arial"/>
          <w:i/>
          <w:iCs/>
          <w:color w:val="000000"/>
          <w:bdr w:val="none" w:sz="0" w:space="0" w:color="auto" w:frame="1"/>
          <w:shd w:val="clear" w:color="auto" w:fill="FFFFFF"/>
        </w:rPr>
        <w:t xml:space="preserve">Roma 15 dicembre 2022 </w:t>
      </w:r>
      <w:r w:rsidR="003C4E6F">
        <w:rPr>
          <w:rStyle w:val="xcontentpasted0"/>
          <w:rFonts w:ascii="Arial" w:hAnsi="Arial" w:cs="Arial"/>
          <w:i/>
          <w:iCs/>
          <w:color w:val="000000"/>
          <w:bdr w:val="none" w:sz="0" w:space="0" w:color="auto" w:frame="1"/>
          <w:shd w:val="clear" w:color="auto" w:fill="FFFFFF"/>
        </w:rPr>
        <w:t>–</w:t>
      </w:r>
      <w:r w:rsidR="004725DA">
        <w:rPr>
          <w:rStyle w:val="xcontentpasted0"/>
          <w:rFonts w:ascii="Arial" w:hAnsi="Arial" w:cs="Arial"/>
          <w:color w:val="000000"/>
          <w:bdr w:val="none" w:sz="0" w:space="0" w:color="auto" w:frame="1"/>
          <w:shd w:val="clear" w:color="auto" w:fill="FFFFFF"/>
        </w:rPr>
        <w:t xml:space="preserve"> </w:t>
      </w:r>
      <w:r w:rsidRPr="00362213">
        <w:rPr>
          <w:rStyle w:val="xcontentpasted0"/>
          <w:rFonts w:ascii="Arial" w:hAnsi="Arial" w:cs="Arial"/>
          <w:color w:val="000000"/>
          <w:bdr w:val="none" w:sz="0" w:space="0" w:color="auto" w:frame="1"/>
          <w:shd w:val="clear" w:color="auto" w:fill="FFFFFF"/>
        </w:rPr>
        <w:t xml:space="preserve">I dati definitivi dei </w:t>
      </w:r>
      <w:r w:rsidRPr="004725DA">
        <w:rPr>
          <w:rStyle w:val="xcontentpasted0"/>
          <w:rFonts w:ascii="Arial" w:hAnsi="Arial" w:cs="Arial"/>
          <w:b/>
          <w:bCs/>
          <w:color w:val="000000"/>
          <w:bdr w:val="none" w:sz="0" w:space="0" w:color="auto" w:frame="1"/>
          <w:shd w:val="clear" w:color="auto" w:fill="FFFFFF"/>
        </w:rPr>
        <w:t>bilanci 2020</w:t>
      </w:r>
      <w:r w:rsidRPr="00362213">
        <w:rPr>
          <w:rStyle w:val="xcontentpasted0"/>
          <w:rFonts w:ascii="Arial" w:hAnsi="Arial" w:cs="Arial"/>
          <w:color w:val="000000"/>
          <w:bdr w:val="none" w:sz="0" w:space="0" w:color="auto" w:frame="1"/>
          <w:shd w:val="clear" w:color="auto" w:fill="FFFFFF"/>
        </w:rPr>
        <w:t xml:space="preserve"> di oltre </w:t>
      </w:r>
      <w:r w:rsidRPr="004725DA">
        <w:rPr>
          <w:rStyle w:val="xcontentpasted0"/>
          <w:rFonts w:ascii="Arial" w:hAnsi="Arial" w:cs="Arial"/>
          <w:b/>
          <w:bCs/>
          <w:color w:val="000000"/>
          <w:bdr w:val="none" w:sz="0" w:space="0" w:color="auto" w:frame="1"/>
          <w:shd w:val="clear" w:color="auto" w:fill="FFFFFF"/>
        </w:rPr>
        <w:t>720 mila società di capitali</w:t>
      </w:r>
      <w:r w:rsidRPr="00362213">
        <w:rPr>
          <w:rStyle w:val="xcontentpasted0"/>
          <w:rFonts w:ascii="Arial" w:hAnsi="Arial" w:cs="Arial"/>
          <w:color w:val="000000"/>
          <w:bdr w:val="none" w:sz="0" w:space="0" w:color="auto" w:frame="1"/>
          <w:shd w:val="clear" w:color="auto" w:fill="FFFFFF"/>
        </w:rPr>
        <w:t xml:space="preserve"> mostrano gli effetti prodotti dalle misure straordinarie adottate per fronteggiare la crisi economica che ha colpito duramente le imprese italiane </w:t>
      </w:r>
      <w:r w:rsidRPr="00362213">
        <w:rPr>
          <w:rFonts w:ascii="Arial" w:hAnsi="Arial" w:cs="Arial"/>
          <w:color w:val="000000"/>
          <w:bdr w:val="none" w:sz="0" w:space="0" w:color="auto" w:frame="1"/>
          <w:shd w:val="clear" w:color="auto" w:fill="FFFFFF"/>
        </w:rPr>
        <w:t xml:space="preserve">nell’anno pandemico e che, anche grazie allo scudo protettivo che ne è derivato, hanno evidenziato un elevato grado di </w:t>
      </w:r>
      <w:r w:rsidRPr="004725DA">
        <w:rPr>
          <w:rFonts w:ascii="Arial" w:hAnsi="Arial" w:cs="Arial"/>
          <w:b/>
          <w:bCs/>
          <w:color w:val="000000"/>
          <w:bdr w:val="none" w:sz="0" w:space="0" w:color="auto" w:frame="1"/>
          <w:shd w:val="clear" w:color="auto" w:fill="FFFFFF"/>
        </w:rPr>
        <w:t>resilienza</w:t>
      </w:r>
      <w:r w:rsidRPr="00362213">
        <w:rPr>
          <w:rFonts w:ascii="Arial" w:hAnsi="Arial" w:cs="Arial"/>
          <w:color w:val="000000"/>
          <w:bdr w:val="none" w:sz="0" w:space="0" w:color="auto" w:frame="1"/>
          <w:shd w:val="clear" w:color="auto" w:fill="FFFFFF"/>
        </w:rPr>
        <w:t>.</w:t>
      </w:r>
      <w:r w:rsidR="003C4E6F" w:rsidRPr="003C4E6F">
        <w:rPr>
          <w:rFonts w:ascii="Arial" w:hAnsi="Arial" w:cs="Arial"/>
          <w:color w:val="000000"/>
          <w:bdr w:val="none" w:sz="0" w:space="0" w:color="auto" w:frame="1"/>
          <w:shd w:val="clear" w:color="auto" w:fill="FFFFFF"/>
        </w:rPr>
        <w:t xml:space="preserve"> </w:t>
      </w:r>
      <w:r w:rsidR="003C4E6F">
        <w:rPr>
          <w:rFonts w:ascii="Arial" w:hAnsi="Arial" w:cs="Arial"/>
          <w:color w:val="000000"/>
          <w:bdr w:val="none" w:sz="0" w:space="0" w:color="auto" w:frame="1"/>
          <w:shd w:val="clear" w:color="auto" w:fill="FFFFFF"/>
        </w:rPr>
        <w:t xml:space="preserve">È questo il quadro che emerge </w:t>
      </w:r>
      <w:r w:rsidR="003C4E6F" w:rsidRPr="00362213">
        <w:rPr>
          <w:rFonts w:ascii="Arial" w:hAnsi="Arial" w:cs="Arial"/>
          <w:color w:val="000000"/>
          <w:bdr w:val="none" w:sz="0" w:space="0" w:color="auto" w:frame="1"/>
          <w:shd w:val="clear" w:color="auto" w:fill="FFFFFF"/>
        </w:rPr>
        <w:t>dall</w:t>
      </w:r>
      <w:r w:rsidR="003C4E6F">
        <w:rPr>
          <w:rFonts w:ascii="Arial" w:hAnsi="Arial" w:cs="Arial"/>
          <w:color w:val="000000"/>
          <w:bdr w:val="none" w:sz="0" w:space="0" w:color="auto" w:frame="1"/>
          <w:shd w:val="clear" w:color="auto" w:fill="FFFFFF"/>
        </w:rPr>
        <w:t>’</w:t>
      </w:r>
      <w:r w:rsidR="003C4E6F" w:rsidRPr="00362213">
        <w:rPr>
          <w:rFonts w:ascii="Arial" w:hAnsi="Arial" w:cs="Arial"/>
          <w:color w:val="000000"/>
          <w:bdr w:val="none" w:sz="0" w:space="0" w:color="auto" w:frame="1"/>
          <w:shd w:val="clear" w:color="auto" w:fill="FFFFFF"/>
        </w:rPr>
        <w:t xml:space="preserve">analisi condotta dall’Osservatorio sui bilanci 2020 delle Società di capitali </w:t>
      </w:r>
      <w:r w:rsidR="003C4E6F">
        <w:rPr>
          <w:rFonts w:ascii="Arial" w:hAnsi="Arial" w:cs="Arial"/>
          <w:color w:val="000000"/>
          <w:bdr w:val="none" w:sz="0" w:space="0" w:color="auto" w:frame="1"/>
          <w:shd w:val="clear" w:color="auto" w:fill="FFFFFF"/>
        </w:rPr>
        <w:t xml:space="preserve">effettuata </w:t>
      </w:r>
      <w:r w:rsidR="003C4E6F" w:rsidRPr="004725DA">
        <w:rPr>
          <w:rFonts w:ascii="Arial" w:hAnsi="Arial" w:cs="Arial"/>
          <w:b/>
          <w:bCs/>
          <w:color w:val="000000"/>
          <w:bdr w:val="none" w:sz="0" w:space="0" w:color="auto" w:frame="1"/>
          <w:shd w:val="clear" w:color="auto" w:fill="FFFFFF"/>
        </w:rPr>
        <w:t>Consiglio e della Fondazione Nazionali dei Commercialisti</w:t>
      </w:r>
      <w:r w:rsidR="003C4E6F" w:rsidRPr="00362213">
        <w:rPr>
          <w:rFonts w:ascii="Arial" w:hAnsi="Arial" w:cs="Arial"/>
          <w:color w:val="000000"/>
          <w:bdr w:val="none" w:sz="0" w:space="0" w:color="auto" w:frame="1"/>
          <w:shd w:val="clear" w:color="auto" w:fill="FFFFFF"/>
        </w:rPr>
        <w:t>. </w:t>
      </w:r>
    </w:p>
    <w:p w14:paraId="00F55BFD" w14:textId="77777777" w:rsidR="003C4E6F" w:rsidRDefault="003C4E6F" w:rsidP="00362213">
      <w:pPr>
        <w:pStyle w:val="NormaleWeb"/>
        <w:shd w:val="clear" w:color="auto" w:fill="FFFFFF"/>
        <w:jc w:val="both"/>
        <w:rPr>
          <w:rFonts w:ascii="Arial" w:hAnsi="Arial" w:cs="Arial"/>
          <w:color w:val="000000"/>
          <w:bdr w:val="none" w:sz="0" w:space="0" w:color="auto" w:frame="1"/>
          <w:shd w:val="clear" w:color="auto" w:fill="FFFFFF"/>
        </w:rPr>
      </w:pPr>
    </w:p>
    <w:p w14:paraId="219815DA" w14:textId="77777777" w:rsidR="003C4E6F" w:rsidRDefault="00362213" w:rsidP="00362213">
      <w:pPr>
        <w:pStyle w:val="NormaleWeb"/>
        <w:shd w:val="clear" w:color="auto" w:fill="FFFFFF"/>
        <w:jc w:val="both"/>
        <w:rPr>
          <w:rFonts w:ascii="Arial" w:hAnsi="Arial" w:cs="Arial"/>
          <w:color w:val="000000"/>
          <w:bdr w:val="none" w:sz="0" w:space="0" w:color="auto" w:frame="1"/>
          <w:shd w:val="clear" w:color="auto" w:fill="FFFFFF"/>
        </w:rPr>
      </w:pPr>
      <w:r w:rsidRPr="00362213">
        <w:rPr>
          <w:rFonts w:ascii="Arial" w:hAnsi="Arial" w:cs="Arial"/>
          <w:color w:val="000000"/>
          <w:bdr w:val="none" w:sz="0" w:space="0" w:color="auto" w:frame="1"/>
          <w:shd w:val="clear" w:color="auto" w:fill="FFFFFF"/>
        </w:rPr>
        <w:t xml:space="preserve">I dati di bilancio, esaminati a livello aggregato, mostrano anche come le singole misure adottate hanno impattato in maniera </w:t>
      </w:r>
      <w:r w:rsidRPr="004725DA">
        <w:rPr>
          <w:rFonts w:ascii="Arial" w:hAnsi="Arial" w:cs="Arial"/>
          <w:b/>
          <w:bCs/>
          <w:color w:val="000000"/>
          <w:bdr w:val="none" w:sz="0" w:space="0" w:color="auto" w:frame="1"/>
          <w:shd w:val="clear" w:color="auto" w:fill="FFFFFF"/>
        </w:rPr>
        <w:t>molto differente</w:t>
      </w:r>
      <w:r w:rsidRPr="00362213">
        <w:rPr>
          <w:rFonts w:ascii="Arial" w:hAnsi="Arial" w:cs="Arial"/>
          <w:color w:val="000000"/>
          <w:bdr w:val="none" w:sz="0" w:space="0" w:color="auto" w:frame="1"/>
          <w:shd w:val="clear" w:color="auto" w:fill="FFFFFF"/>
        </w:rPr>
        <w:t xml:space="preserve"> sul piano quantitativo. In particolare, gli aiuti </w:t>
      </w:r>
      <w:r w:rsidR="003C4E6F">
        <w:rPr>
          <w:rFonts w:ascii="Arial" w:hAnsi="Arial" w:cs="Arial"/>
          <w:color w:val="000000"/>
          <w:bdr w:val="none" w:sz="0" w:space="0" w:color="auto" w:frame="1"/>
          <w:shd w:val="clear" w:color="auto" w:fill="FFFFFF"/>
        </w:rPr>
        <w:t>C</w:t>
      </w:r>
      <w:r w:rsidRPr="00362213">
        <w:rPr>
          <w:rFonts w:ascii="Arial" w:hAnsi="Arial" w:cs="Arial"/>
          <w:color w:val="000000"/>
          <w:bdr w:val="none" w:sz="0" w:space="0" w:color="auto" w:frame="1"/>
          <w:shd w:val="clear" w:color="auto" w:fill="FFFFFF"/>
        </w:rPr>
        <w:t xml:space="preserve">ovid-19, concessi alle imprese per far fronte al crollo repentino dei ricavi manifestatosi nella fase acuta del primo lockdown, esaminati ex-post, risultano </w:t>
      </w:r>
      <w:r w:rsidRPr="004725DA">
        <w:rPr>
          <w:rFonts w:ascii="Arial" w:hAnsi="Arial" w:cs="Arial"/>
          <w:b/>
          <w:bCs/>
          <w:color w:val="000000"/>
          <w:bdr w:val="none" w:sz="0" w:space="0" w:color="auto" w:frame="1"/>
          <w:shd w:val="clear" w:color="auto" w:fill="FFFFFF"/>
        </w:rPr>
        <w:t>eccessivamente diluiti</w:t>
      </w:r>
      <w:r w:rsidRPr="00362213">
        <w:rPr>
          <w:rFonts w:ascii="Arial" w:hAnsi="Arial" w:cs="Arial"/>
          <w:color w:val="000000"/>
          <w:bdr w:val="none" w:sz="0" w:space="0" w:color="auto" w:frame="1"/>
          <w:shd w:val="clear" w:color="auto" w:fill="FFFFFF"/>
        </w:rPr>
        <w:t xml:space="preserve">, mentre la "nuova" rivalutazione dei beni d'impresa e delle partecipazioni introdotta dal </w:t>
      </w:r>
      <w:r w:rsidRPr="004725DA">
        <w:rPr>
          <w:rFonts w:ascii="Arial" w:hAnsi="Arial" w:cs="Arial"/>
          <w:b/>
          <w:bCs/>
          <w:color w:val="000000"/>
          <w:bdr w:val="none" w:sz="0" w:space="0" w:color="auto" w:frame="1"/>
          <w:shd w:val="clear" w:color="auto" w:fill="FFFFFF"/>
        </w:rPr>
        <w:t>Decreto "Agosto"</w:t>
      </w:r>
      <w:r w:rsidRPr="00362213">
        <w:rPr>
          <w:rFonts w:ascii="Arial" w:hAnsi="Arial" w:cs="Arial"/>
          <w:color w:val="000000"/>
          <w:bdr w:val="none" w:sz="0" w:space="0" w:color="auto" w:frame="1"/>
          <w:shd w:val="clear" w:color="auto" w:fill="FFFFFF"/>
        </w:rPr>
        <w:t xml:space="preserve"> per incentivare la patrimonializzazione delle imprese ha avuto un </w:t>
      </w:r>
      <w:r w:rsidRPr="004725DA">
        <w:rPr>
          <w:rFonts w:ascii="Arial" w:hAnsi="Arial" w:cs="Arial"/>
          <w:b/>
          <w:bCs/>
          <w:color w:val="000000"/>
          <w:bdr w:val="none" w:sz="0" w:space="0" w:color="auto" w:frame="1"/>
          <w:shd w:val="clear" w:color="auto" w:fill="FFFFFF"/>
        </w:rPr>
        <w:t>impatto esteso e molto rilevante</w:t>
      </w:r>
      <w:r w:rsidRPr="00362213">
        <w:rPr>
          <w:rFonts w:ascii="Arial" w:hAnsi="Arial" w:cs="Arial"/>
          <w:color w:val="000000"/>
          <w:bdr w:val="none" w:sz="0" w:space="0" w:color="auto" w:frame="1"/>
          <w:shd w:val="clear" w:color="auto" w:fill="FFFFFF"/>
        </w:rPr>
        <w:t xml:space="preserve"> sui bilanci chiusi al 31 dicembre 2020.</w:t>
      </w:r>
    </w:p>
    <w:p w14:paraId="0A1D540C" w14:textId="77777777" w:rsidR="003C4E6F" w:rsidRDefault="003C4E6F" w:rsidP="00362213">
      <w:pPr>
        <w:pStyle w:val="NormaleWeb"/>
        <w:shd w:val="clear" w:color="auto" w:fill="FFFFFF"/>
        <w:jc w:val="both"/>
        <w:rPr>
          <w:rFonts w:ascii="Arial" w:hAnsi="Arial" w:cs="Arial"/>
          <w:color w:val="000000"/>
          <w:bdr w:val="none" w:sz="0" w:space="0" w:color="auto" w:frame="1"/>
          <w:shd w:val="clear" w:color="auto" w:fill="FFFFFF"/>
        </w:rPr>
      </w:pPr>
    </w:p>
    <w:p w14:paraId="2EDA5F79" w14:textId="4CC1420F" w:rsidR="00362213" w:rsidRPr="00362213" w:rsidRDefault="00362213" w:rsidP="00362213">
      <w:pPr>
        <w:pStyle w:val="NormaleWeb"/>
        <w:shd w:val="clear" w:color="auto" w:fill="FFFFFF"/>
        <w:jc w:val="both"/>
        <w:rPr>
          <w:rFonts w:ascii="Arial" w:hAnsi="Arial" w:cs="Arial"/>
          <w:color w:val="000000"/>
          <w:bdr w:val="none" w:sz="0" w:space="0" w:color="auto" w:frame="1"/>
          <w:shd w:val="clear" w:color="auto" w:fill="FFFFFF"/>
        </w:rPr>
      </w:pPr>
      <w:r w:rsidRPr="00362213">
        <w:rPr>
          <w:rFonts w:ascii="Arial" w:hAnsi="Arial" w:cs="Arial"/>
          <w:color w:val="000000"/>
          <w:bdr w:val="none" w:sz="0" w:space="0" w:color="auto" w:frame="1"/>
          <w:shd w:val="clear" w:color="auto" w:fill="FFFFFF"/>
        </w:rPr>
        <w:t xml:space="preserve">In particolare, a livello aggregato, a fronte di un </w:t>
      </w:r>
      <w:r w:rsidRPr="004725DA">
        <w:rPr>
          <w:rFonts w:ascii="Arial" w:hAnsi="Arial" w:cs="Arial"/>
          <w:b/>
          <w:bCs/>
          <w:color w:val="000000"/>
          <w:bdr w:val="none" w:sz="0" w:space="0" w:color="auto" w:frame="1"/>
          <w:shd w:val="clear" w:color="auto" w:fill="FFFFFF"/>
        </w:rPr>
        <w:t>calo dei ricavi di 244 miliardi di euro (10,1%)</w:t>
      </w:r>
      <w:r w:rsidRPr="00362213">
        <w:rPr>
          <w:rFonts w:ascii="Arial" w:hAnsi="Arial" w:cs="Arial"/>
          <w:color w:val="000000"/>
          <w:bdr w:val="none" w:sz="0" w:space="0" w:color="auto" w:frame="1"/>
          <w:shd w:val="clear" w:color="auto" w:fill="FFFFFF"/>
        </w:rPr>
        <w:t xml:space="preserve">, i bilanci delle imprese registrano un calo del </w:t>
      </w:r>
      <w:r w:rsidRPr="004725DA">
        <w:rPr>
          <w:rFonts w:ascii="Arial" w:hAnsi="Arial" w:cs="Arial"/>
          <w:b/>
          <w:bCs/>
          <w:color w:val="000000"/>
          <w:bdr w:val="none" w:sz="0" w:space="0" w:color="auto" w:frame="1"/>
          <w:shd w:val="clear" w:color="auto" w:fill="FFFFFF"/>
        </w:rPr>
        <w:t>Risultato operativo</w:t>
      </w:r>
      <w:r w:rsidRPr="00362213">
        <w:rPr>
          <w:rFonts w:ascii="Arial" w:hAnsi="Arial" w:cs="Arial"/>
          <w:color w:val="000000"/>
          <w:bdr w:val="none" w:sz="0" w:space="0" w:color="auto" w:frame="1"/>
          <w:shd w:val="clear" w:color="auto" w:fill="FFFFFF"/>
        </w:rPr>
        <w:t xml:space="preserve"> di </w:t>
      </w:r>
      <w:r w:rsidRPr="004725DA">
        <w:rPr>
          <w:rFonts w:ascii="Arial" w:hAnsi="Arial" w:cs="Arial"/>
          <w:b/>
          <w:bCs/>
          <w:color w:val="000000"/>
          <w:bdr w:val="none" w:sz="0" w:space="0" w:color="auto" w:frame="1"/>
          <w:shd w:val="clear" w:color="auto" w:fill="FFFFFF"/>
        </w:rPr>
        <w:t>40 miliardi di euro (33%)</w:t>
      </w:r>
      <w:r w:rsidRPr="00362213">
        <w:rPr>
          <w:rFonts w:ascii="Arial" w:hAnsi="Arial" w:cs="Arial"/>
          <w:color w:val="000000"/>
          <w:bdr w:val="none" w:sz="0" w:space="0" w:color="auto" w:frame="1"/>
          <w:shd w:val="clear" w:color="auto" w:fill="FFFFFF"/>
        </w:rPr>
        <w:t xml:space="preserve"> che si traduce in una riduzione degli utili netti di </w:t>
      </w:r>
      <w:r w:rsidRPr="004725DA">
        <w:rPr>
          <w:rFonts w:ascii="Arial" w:hAnsi="Arial" w:cs="Arial"/>
          <w:b/>
          <w:bCs/>
          <w:color w:val="000000"/>
          <w:bdr w:val="none" w:sz="0" w:space="0" w:color="auto" w:frame="1"/>
          <w:shd w:val="clear" w:color="auto" w:fill="FFFFFF"/>
        </w:rPr>
        <w:t>23 miliardi di euro (24,1%)</w:t>
      </w:r>
      <w:r w:rsidRPr="00362213">
        <w:rPr>
          <w:rFonts w:ascii="Arial" w:hAnsi="Arial" w:cs="Arial"/>
          <w:color w:val="000000"/>
          <w:bdr w:val="none" w:sz="0" w:space="0" w:color="auto" w:frame="1"/>
          <w:shd w:val="clear" w:color="auto" w:fill="FFFFFF"/>
        </w:rPr>
        <w:t>. Nel complesso, invece, alla voce "</w:t>
      </w:r>
      <w:r w:rsidRPr="004725DA">
        <w:rPr>
          <w:rFonts w:ascii="Arial" w:hAnsi="Arial" w:cs="Arial"/>
          <w:b/>
          <w:bCs/>
          <w:color w:val="000000"/>
          <w:bdr w:val="none" w:sz="0" w:space="0" w:color="auto" w:frame="1"/>
          <w:shd w:val="clear" w:color="auto" w:fill="FFFFFF"/>
        </w:rPr>
        <w:t>Contributi in conto esercizio</w:t>
      </w:r>
      <w:r w:rsidRPr="00362213">
        <w:rPr>
          <w:rFonts w:ascii="Arial" w:hAnsi="Arial" w:cs="Arial"/>
          <w:color w:val="000000"/>
          <w:bdr w:val="none" w:sz="0" w:space="0" w:color="auto" w:frame="1"/>
          <w:shd w:val="clear" w:color="auto" w:fill="FFFFFF"/>
        </w:rPr>
        <w:t xml:space="preserve">" si registra un incremento di </w:t>
      </w:r>
      <w:r w:rsidRPr="004725DA">
        <w:rPr>
          <w:rFonts w:ascii="Arial" w:hAnsi="Arial" w:cs="Arial"/>
          <w:b/>
          <w:bCs/>
          <w:color w:val="000000"/>
          <w:bdr w:val="none" w:sz="0" w:space="0" w:color="auto" w:frame="1"/>
          <w:shd w:val="clear" w:color="auto" w:fill="FFFFFF"/>
        </w:rPr>
        <w:t>4,9 miliardi di euro (46,7%)</w:t>
      </w:r>
      <w:r w:rsidRPr="00362213">
        <w:rPr>
          <w:rFonts w:ascii="Arial" w:hAnsi="Arial" w:cs="Arial"/>
          <w:color w:val="000000"/>
          <w:bdr w:val="none" w:sz="0" w:space="0" w:color="auto" w:frame="1"/>
          <w:shd w:val="clear" w:color="auto" w:fill="FFFFFF"/>
        </w:rPr>
        <w:t xml:space="preserve"> pari a un quinto circa del calo degli utili. Le imprese che chiudono il </w:t>
      </w:r>
      <w:r w:rsidRPr="004725DA">
        <w:rPr>
          <w:rFonts w:ascii="Arial" w:hAnsi="Arial" w:cs="Arial"/>
          <w:b/>
          <w:bCs/>
          <w:color w:val="000000"/>
          <w:bdr w:val="none" w:sz="0" w:space="0" w:color="auto" w:frame="1"/>
          <w:shd w:val="clear" w:color="auto" w:fill="FFFFFF"/>
        </w:rPr>
        <w:t>bilancio in perdita</w:t>
      </w:r>
      <w:r w:rsidRPr="00362213">
        <w:rPr>
          <w:rFonts w:ascii="Arial" w:hAnsi="Arial" w:cs="Arial"/>
          <w:color w:val="000000"/>
          <w:bdr w:val="none" w:sz="0" w:space="0" w:color="auto" w:frame="1"/>
          <w:shd w:val="clear" w:color="auto" w:fill="FFFFFF"/>
        </w:rPr>
        <w:t xml:space="preserve"> sono così passate dal </w:t>
      </w:r>
      <w:r w:rsidRPr="004725DA">
        <w:rPr>
          <w:rFonts w:ascii="Arial" w:hAnsi="Arial" w:cs="Arial"/>
          <w:b/>
          <w:bCs/>
          <w:color w:val="000000"/>
          <w:bdr w:val="none" w:sz="0" w:space="0" w:color="auto" w:frame="1"/>
          <w:shd w:val="clear" w:color="auto" w:fill="FFFFFF"/>
        </w:rPr>
        <w:t>26,9% al 34,1%</w:t>
      </w:r>
      <w:r w:rsidRPr="00362213">
        <w:rPr>
          <w:rFonts w:ascii="Arial" w:hAnsi="Arial" w:cs="Arial"/>
          <w:color w:val="000000"/>
          <w:bdr w:val="none" w:sz="0" w:space="0" w:color="auto" w:frame="1"/>
          <w:shd w:val="clear" w:color="auto" w:fill="FFFFFF"/>
        </w:rPr>
        <w:t xml:space="preserve">. Ad impattare, però, in maniera significativa sui bilanci è stato il deciso contenimento dei </w:t>
      </w:r>
      <w:r w:rsidRPr="004725DA">
        <w:rPr>
          <w:rFonts w:ascii="Arial" w:hAnsi="Arial" w:cs="Arial"/>
          <w:b/>
          <w:bCs/>
          <w:color w:val="000000"/>
          <w:bdr w:val="none" w:sz="0" w:space="0" w:color="auto" w:frame="1"/>
          <w:shd w:val="clear" w:color="auto" w:fill="FFFFFF"/>
        </w:rPr>
        <w:t>costi di produzione diminuiti di 202,7 miliardi di euro (8,4%)</w:t>
      </w:r>
      <w:r w:rsidRPr="00362213">
        <w:rPr>
          <w:rFonts w:ascii="Arial" w:hAnsi="Arial" w:cs="Arial"/>
          <w:color w:val="000000"/>
          <w:bdr w:val="none" w:sz="0" w:space="0" w:color="auto" w:frame="1"/>
          <w:shd w:val="clear" w:color="auto" w:fill="FFFFFF"/>
        </w:rPr>
        <w:t xml:space="preserve"> grazie, soprattutto, al taglio degli </w:t>
      </w:r>
      <w:r w:rsidRPr="004725DA">
        <w:rPr>
          <w:rFonts w:ascii="Arial" w:hAnsi="Arial" w:cs="Arial"/>
          <w:b/>
          <w:bCs/>
          <w:color w:val="000000"/>
          <w:bdr w:val="none" w:sz="0" w:space="0" w:color="auto" w:frame="1"/>
          <w:shd w:val="clear" w:color="auto" w:fill="FFFFFF"/>
        </w:rPr>
        <w:t>approvvigionamenti</w:t>
      </w:r>
      <w:r w:rsidRPr="00362213">
        <w:rPr>
          <w:rFonts w:ascii="Arial" w:hAnsi="Arial" w:cs="Arial"/>
          <w:color w:val="000000"/>
          <w:bdr w:val="none" w:sz="0" w:space="0" w:color="auto" w:frame="1"/>
          <w:shd w:val="clear" w:color="auto" w:fill="FFFFFF"/>
        </w:rPr>
        <w:t xml:space="preserve"> (materie prime e di consumo e servizi) diminuiti di 186,4 miliardi di euro (10,2%). Determinante, per il risultato finale, il </w:t>
      </w:r>
      <w:r w:rsidRPr="004725DA">
        <w:rPr>
          <w:rFonts w:ascii="Arial" w:hAnsi="Arial" w:cs="Arial"/>
          <w:b/>
          <w:bCs/>
          <w:color w:val="000000"/>
          <w:bdr w:val="none" w:sz="0" w:space="0" w:color="auto" w:frame="1"/>
          <w:shd w:val="clear" w:color="auto" w:fill="FFFFFF"/>
        </w:rPr>
        <w:t>calo degli oneri finanziari</w:t>
      </w:r>
      <w:r w:rsidRPr="00362213">
        <w:rPr>
          <w:rFonts w:ascii="Arial" w:hAnsi="Arial" w:cs="Arial"/>
          <w:color w:val="000000"/>
          <w:bdr w:val="none" w:sz="0" w:space="0" w:color="auto" w:frame="1"/>
          <w:shd w:val="clear" w:color="auto" w:fill="FFFFFF"/>
        </w:rPr>
        <w:t>, diminuiti di 8,1 miliardi di euro (21,9%) e del totale imposte, diminuito di 16,4 miliardi di euro (46,4%).</w:t>
      </w:r>
    </w:p>
    <w:p w14:paraId="0A8D6207" w14:textId="77777777" w:rsidR="00362213" w:rsidRPr="00362213" w:rsidRDefault="00362213" w:rsidP="00362213">
      <w:pPr>
        <w:pStyle w:val="NormaleWeb"/>
        <w:shd w:val="clear" w:color="auto" w:fill="FFFFFF"/>
        <w:jc w:val="both"/>
        <w:rPr>
          <w:rFonts w:ascii="Arial" w:hAnsi="Arial" w:cs="Arial"/>
          <w:color w:val="000000"/>
          <w:bdr w:val="none" w:sz="0" w:space="0" w:color="auto" w:frame="1"/>
          <w:shd w:val="clear" w:color="auto" w:fill="FFFFFF"/>
        </w:rPr>
      </w:pPr>
    </w:p>
    <w:p w14:paraId="2D26B0F5" w14:textId="77777777" w:rsidR="003C4E6F" w:rsidRDefault="00362213" w:rsidP="00362213">
      <w:pPr>
        <w:pStyle w:val="NormaleWeb"/>
        <w:shd w:val="clear" w:color="auto" w:fill="FFFFFF"/>
        <w:jc w:val="both"/>
        <w:rPr>
          <w:rFonts w:ascii="Arial" w:hAnsi="Arial" w:cs="Arial"/>
          <w:color w:val="000000"/>
          <w:bdr w:val="none" w:sz="0" w:space="0" w:color="auto" w:frame="1"/>
          <w:shd w:val="clear" w:color="auto" w:fill="FFFFFF"/>
        </w:rPr>
      </w:pPr>
      <w:r w:rsidRPr="00362213">
        <w:rPr>
          <w:rStyle w:val="xcontentpasted0"/>
          <w:rFonts w:ascii="Arial" w:hAnsi="Arial" w:cs="Arial"/>
          <w:color w:val="000000"/>
          <w:bdr w:val="none" w:sz="0" w:space="0" w:color="auto" w:frame="1"/>
          <w:shd w:val="clear" w:color="auto" w:fill="FFFFFF"/>
        </w:rPr>
        <w:t>Sul piano settoriale, i dati dell'Osservatorio mostrano come la crisi pandemica abbia colpito duramente solo una parte marginale del sistema produttivo, mentre gli aiuti sono stati concessi alla gran parte delle imprese determinando, di fatto, una forte diluizione dell</w:t>
      </w:r>
      <w:r w:rsidR="003C4E6F">
        <w:rPr>
          <w:rStyle w:val="xcontentpasted0"/>
          <w:rFonts w:ascii="Arial" w:hAnsi="Arial" w:cs="Arial"/>
          <w:color w:val="000000"/>
          <w:bdr w:val="none" w:sz="0" w:space="0" w:color="auto" w:frame="1"/>
          <w:shd w:val="clear" w:color="auto" w:fill="FFFFFF"/>
        </w:rPr>
        <w:t>’</w:t>
      </w:r>
      <w:r w:rsidRPr="00362213">
        <w:rPr>
          <w:rStyle w:val="xcontentpasted0"/>
          <w:rFonts w:ascii="Arial" w:hAnsi="Arial" w:cs="Arial"/>
          <w:color w:val="000000"/>
          <w:bdr w:val="none" w:sz="0" w:space="0" w:color="auto" w:frame="1"/>
          <w:shd w:val="clear" w:color="auto" w:fill="FFFFFF"/>
        </w:rPr>
        <w:t xml:space="preserve">intervento. Se è vero, infatti, che, mediamente, i ricavi sono diminuiti del 10%, in alcuni settori la riduzione è </w:t>
      </w:r>
      <w:r w:rsidRPr="004725DA">
        <w:rPr>
          <w:rStyle w:val="xcontentpasted0"/>
          <w:rFonts w:ascii="Arial" w:hAnsi="Arial" w:cs="Arial"/>
          <w:b/>
          <w:bCs/>
          <w:color w:val="000000"/>
          <w:bdr w:val="none" w:sz="0" w:space="0" w:color="auto" w:frame="1"/>
          <w:shd w:val="clear" w:color="auto" w:fill="FFFFFF"/>
        </w:rPr>
        <w:t>vicina al 50%.</w:t>
      </w:r>
      <w:r w:rsidRPr="00362213">
        <w:rPr>
          <w:rStyle w:val="xcontentpasted0"/>
          <w:rFonts w:ascii="Arial" w:hAnsi="Arial" w:cs="Arial"/>
          <w:color w:val="000000"/>
          <w:bdr w:val="none" w:sz="0" w:space="0" w:color="auto" w:frame="1"/>
          <w:shd w:val="clear" w:color="auto" w:fill="FFFFFF"/>
        </w:rPr>
        <w:t xml:space="preserve"> I più colpiti sono stati quelli degli </w:t>
      </w:r>
      <w:r w:rsidRPr="004725DA">
        <w:rPr>
          <w:rStyle w:val="xcontentpasted0"/>
          <w:rFonts w:ascii="Arial" w:hAnsi="Arial" w:cs="Arial"/>
          <w:b/>
          <w:bCs/>
          <w:color w:val="000000"/>
          <w:bdr w:val="none" w:sz="0" w:space="0" w:color="auto" w:frame="1"/>
          <w:shd w:val="clear" w:color="auto" w:fill="FFFFFF"/>
        </w:rPr>
        <w:t>Alberghi e ristoranti (45,3%)</w:t>
      </w:r>
      <w:r w:rsidRPr="00362213">
        <w:rPr>
          <w:rStyle w:val="xcontentpasted0"/>
          <w:rFonts w:ascii="Arial" w:hAnsi="Arial" w:cs="Arial"/>
          <w:color w:val="000000"/>
          <w:bdr w:val="none" w:sz="0" w:space="0" w:color="auto" w:frame="1"/>
          <w:shd w:val="clear" w:color="auto" w:fill="FFFFFF"/>
        </w:rPr>
        <w:t xml:space="preserve">, </w:t>
      </w:r>
      <w:r w:rsidRPr="004725DA">
        <w:rPr>
          <w:rStyle w:val="xcontentpasted0"/>
          <w:rFonts w:ascii="Arial" w:hAnsi="Arial" w:cs="Arial"/>
          <w:b/>
          <w:bCs/>
          <w:color w:val="000000"/>
          <w:bdr w:val="none" w:sz="0" w:space="0" w:color="auto" w:frame="1"/>
          <w:shd w:val="clear" w:color="auto" w:fill="FFFFFF"/>
        </w:rPr>
        <w:t>dell'Arte e cultura (58%)</w:t>
      </w:r>
      <w:r w:rsidRPr="00362213">
        <w:rPr>
          <w:rStyle w:val="xcontentpasted0"/>
          <w:rFonts w:ascii="Arial" w:hAnsi="Arial" w:cs="Arial"/>
          <w:color w:val="000000"/>
          <w:bdr w:val="none" w:sz="0" w:space="0" w:color="auto" w:frame="1"/>
          <w:shd w:val="clear" w:color="auto" w:fill="FFFFFF"/>
        </w:rPr>
        <w:t>, delle </w:t>
      </w:r>
      <w:r w:rsidRPr="004725DA">
        <w:rPr>
          <w:rFonts w:ascii="Arial" w:hAnsi="Arial" w:cs="Arial"/>
          <w:b/>
          <w:bCs/>
          <w:color w:val="000000"/>
          <w:bdr w:val="none" w:sz="0" w:space="0" w:color="auto" w:frame="1"/>
          <w:shd w:val="clear" w:color="auto" w:fill="FFFFFF"/>
        </w:rPr>
        <w:t>Attività sportive (39,3%)</w:t>
      </w:r>
      <w:r w:rsidRPr="00362213">
        <w:rPr>
          <w:rFonts w:ascii="Arial" w:hAnsi="Arial" w:cs="Arial"/>
          <w:color w:val="000000"/>
          <w:bdr w:val="none" w:sz="0" w:space="0" w:color="auto" w:frame="1"/>
          <w:shd w:val="clear" w:color="auto" w:fill="FFFFFF"/>
        </w:rPr>
        <w:t> e delle </w:t>
      </w:r>
      <w:r w:rsidRPr="004725DA">
        <w:rPr>
          <w:rFonts w:ascii="Arial" w:hAnsi="Arial" w:cs="Arial"/>
          <w:b/>
          <w:bCs/>
          <w:color w:val="000000"/>
          <w:bdr w:val="none" w:sz="0" w:space="0" w:color="auto" w:frame="1"/>
          <w:shd w:val="clear" w:color="auto" w:fill="FFFFFF"/>
        </w:rPr>
        <w:t>Case da gioco, lotterie e scommesse (26,7%).</w:t>
      </w:r>
      <w:r w:rsidRPr="00362213">
        <w:rPr>
          <w:rFonts w:ascii="Arial" w:hAnsi="Arial" w:cs="Arial"/>
          <w:color w:val="000000"/>
          <w:bdr w:val="none" w:sz="0" w:space="0" w:color="auto" w:frame="1"/>
          <w:shd w:val="clear" w:color="auto" w:fill="FFFFFF"/>
        </w:rPr>
        <w:t xml:space="preserve"> Nell'insieme, i quattro settori indicati, che in termini di </w:t>
      </w:r>
    </w:p>
    <w:p w14:paraId="279FF585" w14:textId="77777777" w:rsidR="003C4E6F" w:rsidRDefault="003C4E6F" w:rsidP="00362213">
      <w:pPr>
        <w:pStyle w:val="NormaleWeb"/>
        <w:shd w:val="clear" w:color="auto" w:fill="FFFFFF"/>
        <w:jc w:val="both"/>
        <w:rPr>
          <w:rFonts w:ascii="Arial" w:hAnsi="Arial" w:cs="Arial"/>
          <w:color w:val="000000"/>
          <w:bdr w:val="none" w:sz="0" w:space="0" w:color="auto" w:frame="1"/>
          <w:shd w:val="clear" w:color="auto" w:fill="FFFFFF"/>
        </w:rPr>
      </w:pPr>
    </w:p>
    <w:p w14:paraId="6CF65B71" w14:textId="405F6B30" w:rsidR="00362213" w:rsidRPr="00362213" w:rsidRDefault="00362213" w:rsidP="00362213">
      <w:pPr>
        <w:pStyle w:val="NormaleWeb"/>
        <w:shd w:val="clear" w:color="auto" w:fill="FFFFFF"/>
        <w:jc w:val="both"/>
        <w:rPr>
          <w:rFonts w:ascii="Arial" w:hAnsi="Arial" w:cs="Arial"/>
          <w:color w:val="000000"/>
          <w:bdr w:val="none" w:sz="0" w:space="0" w:color="auto" w:frame="1"/>
          <w:shd w:val="clear" w:color="auto" w:fill="FFFFFF"/>
        </w:rPr>
      </w:pPr>
      <w:r w:rsidRPr="00362213">
        <w:rPr>
          <w:rFonts w:ascii="Arial" w:hAnsi="Arial" w:cs="Arial"/>
          <w:color w:val="000000"/>
          <w:bdr w:val="none" w:sz="0" w:space="0" w:color="auto" w:frame="1"/>
          <w:shd w:val="clear" w:color="auto" w:fill="FFFFFF"/>
        </w:rPr>
        <w:t>imprese pesano per l'8,7% sul totale e in termini di ricavi per il 2,4%, hanno assorbito 1,3 miliardi di euro dell'incremento totale della voce "Contributi in conto esercizio", pari al 26,3% dell'incremento totale.   </w:t>
      </w:r>
    </w:p>
    <w:p w14:paraId="421EE108" w14:textId="77777777" w:rsidR="00362213" w:rsidRPr="00362213" w:rsidRDefault="00362213" w:rsidP="00362213">
      <w:pPr>
        <w:pStyle w:val="NormaleWeb"/>
        <w:shd w:val="clear" w:color="auto" w:fill="FFFFFF"/>
        <w:jc w:val="both"/>
        <w:rPr>
          <w:rFonts w:ascii="Arial" w:hAnsi="Arial" w:cs="Arial"/>
          <w:color w:val="000000"/>
          <w:bdr w:val="none" w:sz="0" w:space="0" w:color="auto" w:frame="1"/>
          <w:shd w:val="clear" w:color="auto" w:fill="FFFFFF"/>
        </w:rPr>
      </w:pPr>
    </w:p>
    <w:p w14:paraId="35ABC7CC" w14:textId="66904566" w:rsidR="00362213" w:rsidRPr="00362213" w:rsidRDefault="00362213" w:rsidP="00362213">
      <w:pPr>
        <w:pStyle w:val="NormaleWeb"/>
        <w:shd w:val="clear" w:color="auto" w:fill="FFFFFF"/>
        <w:jc w:val="both"/>
        <w:rPr>
          <w:rFonts w:ascii="Arial" w:hAnsi="Arial" w:cs="Arial"/>
          <w:color w:val="000000"/>
          <w:bdr w:val="none" w:sz="0" w:space="0" w:color="auto" w:frame="1"/>
          <w:shd w:val="clear" w:color="auto" w:fill="FFFFFF"/>
        </w:rPr>
      </w:pPr>
      <w:r w:rsidRPr="00362213">
        <w:rPr>
          <w:rStyle w:val="xcontentpasted0"/>
          <w:rFonts w:ascii="Arial" w:hAnsi="Arial" w:cs="Arial"/>
          <w:color w:val="000000"/>
          <w:bdr w:val="none" w:sz="0" w:space="0" w:color="auto" w:frame="1"/>
          <w:shd w:val="clear" w:color="auto" w:fill="FFFFFF"/>
        </w:rPr>
        <w:t xml:space="preserve">A livello geografico, le imprese del </w:t>
      </w:r>
      <w:r w:rsidRPr="004725DA">
        <w:rPr>
          <w:rStyle w:val="xcontentpasted0"/>
          <w:rFonts w:ascii="Arial" w:hAnsi="Arial" w:cs="Arial"/>
          <w:b/>
          <w:bCs/>
          <w:color w:val="000000"/>
          <w:bdr w:val="none" w:sz="0" w:space="0" w:color="auto" w:frame="1"/>
          <w:shd w:val="clear" w:color="auto" w:fill="FFFFFF"/>
        </w:rPr>
        <w:t>Centro registrano il calo maggiore (14,4%)</w:t>
      </w:r>
      <w:r w:rsidRPr="00362213">
        <w:rPr>
          <w:rStyle w:val="xcontentpasted0"/>
          <w:rFonts w:ascii="Arial" w:hAnsi="Arial" w:cs="Arial"/>
          <w:color w:val="000000"/>
          <w:bdr w:val="none" w:sz="0" w:space="0" w:color="auto" w:frame="1"/>
          <w:shd w:val="clear" w:color="auto" w:fill="FFFFFF"/>
        </w:rPr>
        <w:t xml:space="preserve"> rispetto alle altre macroaree. In particolare, il </w:t>
      </w:r>
      <w:r w:rsidRPr="004725DA">
        <w:rPr>
          <w:rStyle w:val="xcontentpasted0"/>
          <w:rFonts w:ascii="Arial" w:hAnsi="Arial" w:cs="Arial"/>
          <w:b/>
          <w:bCs/>
          <w:color w:val="000000"/>
          <w:bdr w:val="none" w:sz="0" w:space="0" w:color="auto" w:frame="1"/>
          <w:shd w:val="clear" w:color="auto" w:fill="FFFFFF"/>
        </w:rPr>
        <w:t>Sud (7%) presenta il calo più contenuto</w:t>
      </w:r>
      <w:r w:rsidRPr="00362213">
        <w:rPr>
          <w:rStyle w:val="xcontentpasted0"/>
          <w:rFonts w:ascii="Arial" w:hAnsi="Arial" w:cs="Arial"/>
          <w:color w:val="000000"/>
          <w:bdr w:val="none" w:sz="0" w:space="0" w:color="auto" w:frame="1"/>
          <w:shd w:val="clear" w:color="auto" w:fill="FFFFFF"/>
        </w:rPr>
        <w:t xml:space="preserve">, mentre il </w:t>
      </w:r>
      <w:r w:rsidRPr="004725DA">
        <w:rPr>
          <w:rStyle w:val="xcontentpasted0"/>
          <w:rFonts w:ascii="Arial" w:hAnsi="Arial" w:cs="Arial"/>
          <w:b/>
          <w:bCs/>
          <w:color w:val="000000"/>
          <w:bdr w:val="none" w:sz="0" w:space="0" w:color="auto" w:frame="1"/>
          <w:shd w:val="clear" w:color="auto" w:fill="FFFFFF"/>
        </w:rPr>
        <w:t>Nord (9,1%)</w:t>
      </w:r>
      <w:r w:rsidRPr="00362213">
        <w:rPr>
          <w:rStyle w:val="xcontentpasted0"/>
          <w:rFonts w:ascii="Arial" w:hAnsi="Arial" w:cs="Arial"/>
          <w:color w:val="000000"/>
          <w:bdr w:val="none" w:sz="0" w:space="0" w:color="auto" w:frame="1"/>
          <w:shd w:val="clear" w:color="auto" w:fill="FFFFFF"/>
        </w:rPr>
        <w:t xml:space="preserve"> risulta più in linea con la media nazionale. </w:t>
      </w:r>
    </w:p>
    <w:p w14:paraId="1A1CB96C" w14:textId="77777777" w:rsidR="00362213" w:rsidRPr="00362213" w:rsidRDefault="00362213" w:rsidP="00362213">
      <w:pPr>
        <w:pStyle w:val="NormaleWeb"/>
        <w:shd w:val="clear" w:color="auto" w:fill="FFFFFF"/>
        <w:jc w:val="both"/>
        <w:rPr>
          <w:rFonts w:ascii="Arial" w:hAnsi="Arial" w:cs="Arial"/>
          <w:color w:val="000000"/>
          <w:bdr w:val="none" w:sz="0" w:space="0" w:color="auto" w:frame="1"/>
          <w:shd w:val="clear" w:color="auto" w:fill="FFFFFF"/>
        </w:rPr>
      </w:pPr>
    </w:p>
    <w:p w14:paraId="5B0235AE" w14:textId="7109A0B1" w:rsidR="00362213" w:rsidRDefault="00362213" w:rsidP="00362213">
      <w:pPr>
        <w:pStyle w:val="NormaleWeb"/>
        <w:shd w:val="clear" w:color="auto" w:fill="FFFFFF"/>
        <w:jc w:val="both"/>
        <w:rPr>
          <w:rStyle w:val="xcontentpasted0"/>
          <w:rFonts w:ascii="Arial" w:hAnsi="Arial" w:cs="Arial"/>
          <w:color w:val="000000"/>
          <w:bdr w:val="none" w:sz="0" w:space="0" w:color="auto" w:frame="1"/>
          <w:shd w:val="clear" w:color="auto" w:fill="FFFFFF"/>
        </w:rPr>
      </w:pPr>
      <w:r w:rsidRPr="00362213">
        <w:rPr>
          <w:rStyle w:val="xcontentpasted0"/>
          <w:rFonts w:ascii="Arial" w:hAnsi="Arial" w:cs="Arial"/>
          <w:color w:val="000000"/>
          <w:bdr w:val="none" w:sz="0" w:space="0" w:color="auto" w:frame="1"/>
          <w:shd w:val="clear" w:color="auto" w:fill="FFFFFF"/>
        </w:rPr>
        <w:t>Focalizzando</w:t>
      </w:r>
      <w:r w:rsidR="004725DA">
        <w:rPr>
          <w:rStyle w:val="xcontentpasted0"/>
          <w:rFonts w:ascii="Arial" w:hAnsi="Arial" w:cs="Arial"/>
          <w:color w:val="000000"/>
          <w:bdr w:val="none" w:sz="0" w:space="0" w:color="auto" w:frame="1"/>
          <w:shd w:val="clear" w:color="auto" w:fill="FFFFFF"/>
        </w:rPr>
        <w:t>s</w:t>
      </w:r>
      <w:r w:rsidRPr="00362213">
        <w:rPr>
          <w:rStyle w:val="xcontentpasted0"/>
          <w:rFonts w:ascii="Arial" w:hAnsi="Arial" w:cs="Arial"/>
          <w:color w:val="000000"/>
          <w:bdr w:val="none" w:sz="0" w:space="0" w:color="auto" w:frame="1"/>
          <w:shd w:val="clear" w:color="auto" w:fill="FFFFFF"/>
        </w:rPr>
        <w:t xml:space="preserve">i sulle </w:t>
      </w:r>
      <w:r w:rsidRPr="004725DA">
        <w:rPr>
          <w:rStyle w:val="xcontentpasted0"/>
          <w:rFonts w:ascii="Arial" w:hAnsi="Arial" w:cs="Arial"/>
          <w:b/>
          <w:bCs/>
          <w:color w:val="000000"/>
          <w:bdr w:val="none" w:sz="0" w:space="0" w:color="auto" w:frame="1"/>
          <w:shd w:val="clear" w:color="auto" w:fill="FFFFFF"/>
        </w:rPr>
        <w:t>singole regioni</w:t>
      </w:r>
      <w:r w:rsidRPr="00362213">
        <w:rPr>
          <w:rStyle w:val="xcontentpasted0"/>
          <w:rFonts w:ascii="Arial" w:hAnsi="Arial" w:cs="Arial"/>
          <w:color w:val="000000"/>
          <w:bdr w:val="none" w:sz="0" w:space="0" w:color="auto" w:frame="1"/>
          <w:shd w:val="clear" w:color="auto" w:fill="FFFFFF"/>
        </w:rPr>
        <w:t>, si rilevano decrementi del fatturato molto elevati nel Lazio (16,9%), in Sardegna (21%), in Valle d'Aosta (15,8%) e in Liguria (13,7%). La Basilicata è l'unica regione a presentare un incremento dei ricavi (2,4%). Tra le città metropolitane, le più colpite sono Cagliari (-29,3%), Roma (-18%), Firenze (-16,5%), Venezia (-16,1%) e Genova (-14,9%).</w:t>
      </w:r>
    </w:p>
    <w:p w14:paraId="6A5CB45C" w14:textId="77777777" w:rsidR="004C49DD" w:rsidRPr="00362213" w:rsidRDefault="004C49DD" w:rsidP="00362213">
      <w:pPr>
        <w:pStyle w:val="NormaleWeb"/>
        <w:shd w:val="clear" w:color="auto" w:fill="FFFFFF"/>
        <w:jc w:val="both"/>
        <w:rPr>
          <w:rFonts w:ascii="Arial" w:hAnsi="Arial" w:cs="Arial"/>
          <w:color w:val="000000"/>
          <w:bdr w:val="none" w:sz="0" w:space="0" w:color="auto" w:frame="1"/>
          <w:shd w:val="clear" w:color="auto" w:fill="FFFFFF"/>
        </w:rPr>
      </w:pPr>
    </w:p>
    <w:p w14:paraId="7ED23F0E" w14:textId="1966A8C1" w:rsidR="00362213" w:rsidRPr="00362213" w:rsidRDefault="00362213" w:rsidP="00362213">
      <w:pPr>
        <w:pStyle w:val="NormaleWeb"/>
        <w:shd w:val="clear" w:color="auto" w:fill="FFFFFF"/>
        <w:jc w:val="both"/>
        <w:rPr>
          <w:rFonts w:ascii="Arial" w:hAnsi="Arial" w:cs="Arial"/>
          <w:color w:val="000000"/>
          <w:bdr w:val="none" w:sz="0" w:space="0" w:color="auto" w:frame="1"/>
          <w:shd w:val="clear" w:color="auto" w:fill="FFFFFF"/>
        </w:rPr>
      </w:pPr>
      <w:r w:rsidRPr="00362213">
        <w:rPr>
          <w:rStyle w:val="xcontentpasted0"/>
          <w:rFonts w:ascii="Arial" w:hAnsi="Arial" w:cs="Arial"/>
          <w:color w:val="000000"/>
          <w:bdr w:val="none" w:sz="0" w:space="0" w:color="auto" w:frame="1"/>
          <w:shd w:val="clear" w:color="auto" w:fill="FFFFFF"/>
        </w:rPr>
        <w:t>L'osservatorio online sul sito della Fondazione Nazionale dei Commercialisti (</w:t>
      </w:r>
      <w:hyperlink r:id="rId8" w:history="1">
        <w:r w:rsidR="004C49DD" w:rsidRPr="00641F89">
          <w:rPr>
            <w:rStyle w:val="Collegamentoipertestuale"/>
            <w:rFonts w:ascii="Arial" w:hAnsi="Arial" w:cs="Arial"/>
            <w:bdr w:val="none" w:sz="0" w:space="0" w:color="auto" w:frame="1"/>
            <w:shd w:val="clear" w:color="auto" w:fill="FFFFFF"/>
          </w:rPr>
          <w:t>www.fondazionenazionalecommercialisti.it</w:t>
        </w:r>
      </w:hyperlink>
      <w:r w:rsidRPr="00362213">
        <w:rPr>
          <w:rStyle w:val="xcontentpasted0"/>
          <w:rFonts w:ascii="Arial" w:hAnsi="Arial" w:cs="Arial"/>
          <w:color w:val="000000"/>
          <w:bdr w:val="none" w:sz="0" w:space="0" w:color="auto" w:frame="1"/>
          <w:shd w:val="clear" w:color="auto" w:fill="FFFFFF"/>
        </w:rPr>
        <w:t>). </w:t>
      </w:r>
    </w:p>
    <w:p w14:paraId="74750287" w14:textId="77777777" w:rsidR="00B47148" w:rsidRPr="00362213" w:rsidRDefault="00B47148" w:rsidP="00362213">
      <w:pPr>
        <w:jc w:val="both"/>
        <w:rPr>
          <w:rFonts w:ascii="Arial" w:hAnsi="Arial" w:cs="Arial"/>
          <w:sz w:val="24"/>
          <w:szCs w:val="24"/>
        </w:rPr>
      </w:pPr>
    </w:p>
    <w:sectPr w:rsidR="00B47148" w:rsidRPr="00362213">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03FE" w14:textId="77777777" w:rsidR="008F5B1B" w:rsidRDefault="008F5B1B" w:rsidP="0078332C">
      <w:r>
        <w:separator/>
      </w:r>
    </w:p>
  </w:endnote>
  <w:endnote w:type="continuationSeparator" w:id="0">
    <w:p w14:paraId="1392949A" w14:textId="77777777" w:rsidR="008F5B1B" w:rsidRDefault="008F5B1B"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55B07" w14:textId="77777777" w:rsidR="008F5B1B" w:rsidRDefault="008F5B1B" w:rsidP="0078332C">
      <w:r>
        <w:separator/>
      </w:r>
    </w:p>
  </w:footnote>
  <w:footnote w:type="continuationSeparator" w:id="0">
    <w:p w14:paraId="59CCA6A7" w14:textId="77777777" w:rsidR="008F5B1B" w:rsidRDefault="008F5B1B"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1960379760">
    <w:abstractNumId w:val="9"/>
  </w:num>
  <w:num w:numId="2" w16cid:durableId="548496844">
    <w:abstractNumId w:val="5"/>
  </w:num>
  <w:num w:numId="3" w16cid:durableId="1385064083">
    <w:abstractNumId w:val="11"/>
  </w:num>
  <w:num w:numId="4" w16cid:durableId="1135028074">
    <w:abstractNumId w:val="6"/>
  </w:num>
  <w:num w:numId="5" w16cid:durableId="965427845">
    <w:abstractNumId w:val="15"/>
  </w:num>
  <w:num w:numId="6" w16cid:durableId="771434783">
    <w:abstractNumId w:val="4"/>
  </w:num>
  <w:num w:numId="7" w16cid:durableId="996225687">
    <w:abstractNumId w:val="0"/>
  </w:num>
  <w:num w:numId="8" w16cid:durableId="1162501193">
    <w:abstractNumId w:val="13"/>
  </w:num>
  <w:num w:numId="9" w16cid:durableId="1053428027">
    <w:abstractNumId w:val="7"/>
  </w:num>
  <w:num w:numId="10" w16cid:durableId="1258950406">
    <w:abstractNumId w:val="7"/>
  </w:num>
  <w:num w:numId="11" w16cid:durableId="1380594227">
    <w:abstractNumId w:val="8"/>
  </w:num>
  <w:num w:numId="12" w16cid:durableId="2135243842">
    <w:abstractNumId w:val="2"/>
  </w:num>
  <w:num w:numId="13" w16cid:durableId="402266403">
    <w:abstractNumId w:val="14"/>
  </w:num>
  <w:num w:numId="14" w16cid:durableId="2037845036">
    <w:abstractNumId w:val="3"/>
  </w:num>
  <w:num w:numId="15" w16cid:durableId="1607467790">
    <w:abstractNumId w:val="8"/>
    <w:lvlOverride w:ilvl="0">
      <w:startOverride w:val="1"/>
    </w:lvlOverride>
  </w:num>
  <w:num w:numId="16" w16cid:durableId="597517501">
    <w:abstractNumId w:val="3"/>
    <w:lvlOverride w:ilvl="0">
      <w:startOverride w:val="1"/>
    </w:lvlOverride>
  </w:num>
  <w:num w:numId="17" w16cid:durableId="669210753">
    <w:abstractNumId w:val="1"/>
  </w:num>
  <w:num w:numId="18" w16cid:durableId="1134635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84357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0561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00519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6740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8286911">
    <w:abstractNumId w:val="8"/>
    <w:lvlOverride w:ilvl="0">
      <w:startOverride w:val="1"/>
    </w:lvlOverride>
    <w:lvlOverride w:ilvl="1"/>
    <w:lvlOverride w:ilvl="2"/>
    <w:lvlOverride w:ilvl="3"/>
    <w:lvlOverride w:ilvl="4"/>
    <w:lvlOverride w:ilvl="5"/>
    <w:lvlOverride w:ilvl="6"/>
    <w:lvlOverride w:ilvl="7"/>
    <w:lvlOverride w:ilvl="8"/>
  </w:num>
  <w:num w:numId="24" w16cid:durableId="21707663">
    <w:abstractNumId w:val="12"/>
  </w:num>
  <w:num w:numId="25" w16cid:durableId="1567954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CAD"/>
    <w:rsid w:val="0004434F"/>
    <w:rsid w:val="00053052"/>
    <w:rsid w:val="000539AC"/>
    <w:rsid w:val="0006018A"/>
    <w:rsid w:val="00061076"/>
    <w:rsid w:val="00072613"/>
    <w:rsid w:val="0007464D"/>
    <w:rsid w:val="000806B0"/>
    <w:rsid w:val="00082FFB"/>
    <w:rsid w:val="00085FC5"/>
    <w:rsid w:val="00090CE4"/>
    <w:rsid w:val="0009108B"/>
    <w:rsid w:val="00093834"/>
    <w:rsid w:val="000971A3"/>
    <w:rsid w:val="000B3EFF"/>
    <w:rsid w:val="000C0552"/>
    <w:rsid w:val="000C19B1"/>
    <w:rsid w:val="000C4B9F"/>
    <w:rsid w:val="000D01B1"/>
    <w:rsid w:val="000D7385"/>
    <w:rsid w:val="000D7847"/>
    <w:rsid w:val="000E1AE4"/>
    <w:rsid w:val="000E22EF"/>
    <w:rsid w:val="000E2C59"/>
    <w:rsid w:val="000F3853"/>
    <w:rsid w:val="00103B90"/>
    <w:rsid w:val="00105755"/>
    <w:rsid w:val="00117671"/>
    <w:rsid w:val="00121A2C"/>
    <w:rsid w:val="00121C2D"/>
    <w:rsid w:val="00123B69"/>
    <w:rsid w:val="00142E95"/>
    <w:rsid w:val="00150E49"/>
    <w:rsid w:val="00173E3A"/>
    <w:rsid w:val="00174310"/>
    <w:rsid w:val="00183DF0"/>
    <w:rsid w:val="00184600"/>
    <w:rsid w:val="00186787"/>
    <w:rsid w:val="00191BB6"/>
    <w:rsid w:val="00194C03"/>
    <w:rsid w:val="001A0166"/>
    <w:rsid w:val="001B67D7"/>
    <w:rsid w:val="001C67E1"/>
    <w:rsid w:val="001C6BDD"/>
    <w:rsid w:val="001C7913"/>
    <w:rsid w:val="001C7A99"/>
    <w:rsid w:val="001C7E5F"/>
    <w:rsid w:val="001D456F"/>
    <w:rsid w:val="001E6BFD"/>
    <w:rsid w:val="001E7260"/>
    <w:rsid w:val="001F080A"/>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53A52"/>
    <w:rsid w:val="00272605"/>
    <w:rsid w:val="002777E7"/>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5FC"/>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3082E"/>
    <w:rsid w:val="00332874"/>
    <w:rsid w:val="00333505"/>
    <w:rsid w:val="00333957"/>
    <w:rsid w:val="003479A2"/>
    <w:rsid w:val="00353EE3"/>
    <w:rsid w:val="00362213"/>
    <w:rsid w:val="0036445C"/>
    <w:rsid w:val="00365C91"/>
    <w:rsid w:val="00366188"/>
    <w:rsid w:val="003808D1"/>
    <w:rsid w:val="00384C9E"/>
    <w:rsid w:val="00392245"/>
    <w:rsid w:val="00397281"/>
    <w:rsid w:val="003A03BB"/>
    <w:rsid w:val="003A0939"/>
    <w:rsid w:val="003A4565"/>
    <w:rsid w:val="003B000F"/>
    <w:rsid w:val="003B24D0"/>
    <w:rsid w:val="003B7329"/>
    <w:rsid w:val="003C1AD8"/>
    <w:rsid w:val="003C2FF2"/>
    <w:rsid w:val="003C4E6F"/>
    <w:rsid w:val="003C53E7"/>
    <w:rsid w:val="003D1DEE"/>
    <w:rsid w:val="003D3F60"/>
    <w:rsid w:val="003D59CF"/>
    <w:rsid w:val="003E0F52"/>
    <w:rsid w:val="003E1A7E"/>
    <w:rsid w:val="003E753F"/>
    <w:rsid w:val="003E78D0"/>
    <w:rsid w:val="003F7A1D"/>
    <w:rsid w:val="00400CE9"/>
    <w:rsid w:val="00422B71"/>
    <w:rsid w:val="0042489D"/>
    <w:rsid w:val="004251EF"/>
    <w:rsid w:val="00434025"/>
    <w:rsid w:val="00435514"/>
    <w:rsid w:val="00443042"/>
    <w:rsid w:val="0046629D"/>
    <w:rsid w:val="004725DA"/>
    <w:rsid w:val="0047270A"/>
    <w:rsid w:val="00472F6D"/>
    <w:rsid w:val="00476C15"/>
    <w:rsid w:val="00485F00"/>
    <w:rsid w:val="004875FA"/>
    <w:rsid w:val="00493DC9"/>
    <w:rsid w:val="00496213"/>
    <w:rsid w:val="004964DA"/>
    <w:rsid w:val="004A44B8"/>
    <w:rsid w:val="004A6888"/>
    <w:rsid w:val="004B2695"/>
    <w:rsid w:val="004C49DD"/>
    <w:rsid w:val="004E435B"/>
    <w:rsid w:val="004E692D"/>
    <w:rsid w:val="004F1170"/>
    <w:rsid w:val="004F4736"/>
    <w:rsid w:val="004F56A8"/>
    <w:rsid w:val="004F7362"/>
    <w:rsid w:val="00500E13"/>
    <w:rsid w:val="00505AE2"/>
    <w:rsid w:val="00511C1B"/>
    <w:rsid w:val="005122BE"/>
    <w:rsid w:val="00513967"/>
    <w:rsid w:val="00516C97"/>
    <w:rsid w:val="00520E1B"/>
    <w:rsid w:val="00522FFA"/>
    <w:rsid w:val="00531523"/>
    <w:rsid w:val="00534AD7"/>
    <w:rsid w:val="00536016"/>
    <w:rsid w:val="005403EC"/>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2CEA"/>
    <w:rsid w:val="005D2D5F"/>
    <w:rsid w:val="005D35A5"/>
    <w:rsid w:val="005D3873"/>
    <w:rsid w:val="005D455A"/>
    <w:rsid w:val="005D6006"/>
    <w:rsid w:val="005D610E"/>
    <w:rsid w:val="005E42F5"/>
    <w:rsid w:val="005E4D40"/>
    <w:rsid w:val="005F2F00"/>
    <w:rsid w:val="005F5B57"/>
    <w:rsid w:val="005F684F"/>
    <w:rsid w:val="00616BA6"/>
    <w:rsid w:val="00616CB9"/>
    <w:rsid w:val="00616CEE"/>
    <w:rsid w:val="006273CC"/>
    <w:rsid w:val="00637B93"/>
    <w:rsid w:val="00640434"/>
    <w:rsid w:val="00641C3C"/>
    <w:rsid w:val="00651FFD"/>
    <w:rsid w:val="00656C55"/>
    <w:rsid w:val="0066338C"/>
    <w:rsid w:val="00667B8F"/>
    <w:rsid w:val="00677A10"/>
    <w:rsid w:val="00684F9D"/>
    <w:rsid w:val="00691FBF"/>
    <w:rsid w:val="006A0B5D"/>
    <w:rsid w:val="006A0D3B"/>
    <w:rsid w:val="006A4451"/>
    <w:rsid w:val="006C3945"/>
    <w:rsid w:val="006C6818"/>
    <w:rsid w:val="006C6D0E"/>
    <w:rsid w:val="006C7063"/>
    <w:rsid w:val="006C7357"/>
    <w:rsid w:val="006E43CD"/>
    <w:rsid w:val="006F4DC7"/>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A2C00"/>
    <w:rsid w:val="007C0C2D"/>
    <w:rsid w:val="007C14B1"/>
    <w:rsid w:val="007C3A93"/>
    <w:rsid w:val="007C5CCD"/>
    <w:rsid w:val="007D36C3"/>
    <w:rsid w:val="007D4196"/>
    <w:rsid w:val="007E44E2"/>
    <w:rsid w:val="007F5FE2"/>
    <w:rsid w:val="0080283B"/>
    <w:rsid w:val="00803939"/>
    <w:rsid w:val="0080797B"/>
    <w:rsid w:val="0081381B"/>
    <w:rsid w:val="00813FF6"/>
    <w:rsid w:val="00817E20"/>
    <w:rsid w:val="00831294"/>
    <w:rsid w:val="00832BE3"/>
    <w:rsid w:val="00841053"/>
    <w:rsid w:val="00851572"/>
    <w:rsid w:val="00855840"/>
    <w:rsid w:val="008600AC"/>
    <w:rsid w:val="008603A5"/>
    <w:rsid w:val="00863104"/>
    <w:rsid w:val="0087487D"/>
    <w:rsid w:val="00882DBD"/>
    <w:rsid w:val="00886628"/>
    <w:rsid w:val="008900F6"/>
    <w:rsid w:val="00892238"/>
    <w:rsid w:val="00892C1F"/>
    <w:rsid w:val="00893AB6"/>
    <w:rsid w:val="008940B2"/>
    <w:rsid w:val="00897D6B"/>
    <w:rsid w:val="008B3BB7"/>
    <w:rsid w:val="008C0C0D"/>
    <w:rsid w:val="008C5ED3"/>
    <w:rsid w:val="008C7690"/>
    <w:rsid w:val="008D5C4B"/>
    <w:rsid w:val="008E141E"/>
    <w:rsid w:val="008F5B1B"/>
    <w:rsid w:val="00900B88"/>
    <w:rsid w:val="0090438E"/>
    <w:rsid w:val="00906D46"/>
    <w:rsid w:val="00907687"/>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8F4"/>
    <w:rsid w:val="00A43F56"/>
    <w:rsid w:val="00A448CE"/>
    <w:rsid w:val="00A46131"/>
    <w:rsid w:val="00A47BEF"/>
    <w:rsid w:val="00A52294"/>
    <w:rsid w:val="00A6097D"/>
    <w:rsid w:val="00A614F2"/>
    <w:rsid w:val="00A641E3"/>
    <w:rsid w:val="00A6546B"/>
    <w:rsid w:val="00A67293"/>
    <w:rsid w:val="00A67A90"/>
    <w:rsid w:val="00A81EED"/>
    <w:rsid w:val="00A837E6"/>
    <w:rsid w:val="00A945B6"/>
    <w:rsid w:val="00A95EE2"/>
    <w:rsid w:val="00A978C3"/>
    <w:rsid w:val="00AA004A"/>
    <w:rsid w:val="00AA33E3"/>
    <w:rsid w:val="00AA59C8"/>
    <w:rsid w:val="00AA66A8"/>
    <w:rsid w:val="00AA7145"/>
    <w:rsid w:val="00AB02A8"/>
    <w:rsid w:val="00AB092F"/>
    <w:rsid w:val="00AB4CC5"/>
    <w:rsid w:val="00AC131C"/>
    <w:rsid w:val="00AC2BD9"/>
    <w:rsid w:val="00AD5F80"/>
    <w:rsid w:val="00AE3DBA"/>
    <w:rsid w:val="00AE61AD"/>
    <w:rsid w:val="00AF0885"/>
    <w:rsid w:val="00AF747D"/>
    <w:rsid w:val="00B01322"/>
    <w:rsid w:val="00B14747"/>
    <w:rsid w:val="00B15621"/>
    <w:rsid w:val="00B34200"/>
    <w:rsid w:val="00B42691"/>
    <w:rsid w:val="00B47148"/>
    <w:rsid w:val="00B51B4A"/>
    <w:rsid w:val="00B62562"/>
    <w:rsid w:val="00B738BB"/>
    <w:rsid w:val="00B74510"/>
    <w:rsid w:val="00B84EF5"/>
    <w:rsid w:val="00B90683"/>
    <w:rsid w:val="00B926C3"/>
    <w:rsid w:val="00BA04F4"/>
    <w:rsid w:val="00BA499D"/>
    <w:rsid w:val="00BA656E"/>
    <w:rsid w:val="00BA6A82"/>
    <w:rsid w:val="00BB02DF"/>
    <w:rsid w:val="00BB2E5B"/>
    <w:rsid w:val="00BB41B0"/>
    <w:rsid w:val="00BB7DCC"/>
    <w:rsid w:val="00BB7EE6"/>
    <w:rsid w:val="00BC5E35"/>
    <w:rsid w:val="00BD0164"/>
    <w:rsid w:val="00BD0510"/>
    <w:rsid w:val="00BD2206"/>
    <w:rsid w:val="00BD6259"/>
    <w:rsid w:val="00BF096F"/>
    <w:rsid w:val="00BF37E8"/>
    <w:rsid w:val="00BF3A80"/>
    <w:rsid w:val="00C27F27"/>
    <w:rsid w:val="00C302BD"/>
    <w:rsid w:val="00C30E85"/>
    <w:rsid w:val="00C33494"/>
    <w:rsid w:val="00C342D6"/>
    <w:rsid w:val="00C418FB"/>
    <w:rsid w:val="00C43099"/>
    <w:rsid w:val="00C51F27"/>
    <w:rsid w:val="00C52205"/>
    <w:rsid w:val="00C61B6E"/>
    <w:rsid w:val="00C630E0"/>
    <w:rsid w:val="00C66852"/>
    <w:rsid w:val="00C81BB1"/>
    <w:rsid w:val="00C844EB"/>
    <w:rsid w:val="00C867A7"/>
    <w:rsid w:val="00C92F98"/>
    <w:rsid w:val="00C93548"/>
    <w:rsid w:val="00CA4152"/>
    <w:rsid w:val="00CB14A8"/>
    <w:rsid w:val="00CC07C8"/>
    <w:rsid w:val="00CC4763"/>
    <w:rsid w:val="00CE403B"/>
    <w:rsid w:val="00CF22E4"/>
    <w:rsid w:val="00CF6388"/>
    <w:rsid w:val="00CF7BCA"/>
    <w:rsid w:val="00D027DD"/>
    <w:rsid w:val="00D02F53"/>
    <w:rsid w:val="00D041E9"/>
    <w:rsid w:val="00D04ABF"/>
    <w:rsid w:val="00D078C6"/>
    <w:rsid w:val="00D07944"/>
    <w:rsid w:val="00D10DCB"/>
    <w:rsid w:val="00D12802"/>
    <w:rsid w:val="00D21FB3"/>
    <w:rsid w:val="00D27080"/>
    <w:rsid w:val="00D37415"/>
    <w:rsid w:val="00D53F64"/>
    <w:rsid w:val="00D569A1"/>
    <w:rsid w:val="00D5740A"/>
    <w:rsid w:val="00D65875"/>
    <w:rsid w:val="00D71D44"/>
    <w:rsid w:val="00D748BF"/>
    <w:rsid w:val="00D75105"/>
    <w:rsid w:val="00D7526D"/>
    <w:rsid w:val="00D92E6B"/>
    <w:rsid w:val="00DA27BF"/>
    <w:rsid w:val="00DA7914"/>
    <w:rsid w:val="00DB6F21"/>
    <w:rsid w:val="00DC2C88"/>
    <w:rsid w:val="00DC2C9E"/>
    <w:rsid w:val="00DD07C2"/>
    <w:rsid w:val="00DD1DF9"/>
    <w:rsid w:val="00DD43CD"/>
    <w:rsid w:val="00DD6F05"/>
    <w:rsid w:val="00DE78C6"/>
    <w:rsid w:val="00DF3633"/>
    <w:rsid w:val="00DF6F21"/>
    <w:rsid w:val="00E03601"/>
    <w:rsid w:val="00E0710C"/>
    <w:rsid w:val="00E1355A"/>
    <w:rsid w:val="00E17A3E"/>
    <w:rsid w:val="00E22AF3"/>
    <w:rsid w:val="00E27BC3"/>
    <w:rsid w:val="00E30769"/>
    <w:rsid w:val="00E3236B"/>
    <w:rsid w:val="00E33070"/>
    <w:rsid w:val="00E3336E"/>
    <w:rsid w:val="00E3435A"/>
    <w:rsid w:val="00E42ED7"/>
    <w:rsid w:val="00E45552"/>
    <w:rsid w:val="00E6797B"/>
    <w:rsid w:val="00E67E9C"/>
    <w:rsid w:val="00E701F3"/>
    <w:rsid w:val="00E855E0"/>
    <w:rsid w:val="00E9545A"/>
    <w:rsid w:val="00EA25EF"/>
    <w:rsid w:val="00EA5CE8"/>
    <w:rsid w:val="00EB67A4"/>
    <w:rsid w:val="00EB7E70"/>
    <w:rsid w:val="00EC2A7C"/>
    <w:rsid w:val="00ED08A8"/>
    <w:rsid w:val="00ED259C"/>
    <w:rsid w:val="00ED2970"/>
    <w:rsid w:val="00ED2BA2"/>
    <w:rsid w:val="00EE3C69"/>
    <w:rsid w:val="00EE51A4"/>
    <w:rsid w:val="00EF49EF"/>
    <w:rsid w:val="00EF561D"/>
    <w:rsid w:val="00EF57D4"/>
    <w:rsid w:val="00EF7D25"/>
    <w:rsid w:val="00F00503"/>
    <w:rsid w:val="00F079D1"/>
    <w:rsid w:val="00F45D3A"/>
    <w:rsid w:val="00F53A8A"/>
    <w:rsid w:val="00F547BE"/>
    <w:rsid w:val="00F548BD"/>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 w:type="character" w:customStyle="1" w:styleId="xcontentpasted0">
    <w:name w:val="x_contentpasted0"/>
    <w:basedOn w:val="Carpredefinitoparagrafo"/>
    <w:rsid w:val="0036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664159838">
      <w:bodyDiv w:val="1"/>
      <w:marLeft w:val="0"/>
      <w:marRight w:val="0"/>
      <w:marTop w:val="0"/>
      <w:marBottom w:val="0"/>
      <w:divBdr>
        <w:top w:val="none" w:sz="0" w:space="0" w:color="auto"/>
        <w:left w:val="none" w:sz="0" w:space="0" w:color="auto"/>
        <w:bottom w:val="none" w:sz="0" w:space="0" w:color="auto"/>
        <w:right w:val="none" w:sz="0" w:space="0" w:color="auto"/>
      </w:divBdr>
    </w:div>
    <w:div w:id="1737313166">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azionenazionalecommercialist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3682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cp:lastPrinted>2022-08-03T15:27:00Z</cp:lastPrinted>
  <dcterms:created xsi:type="dcterms:W3CDTF">2022-12-15T11:41:00Z</dcterms:created>
  <dcterms:modified xsi:type="dcterms:W3CDTF">2022-12-15T11:45:00Z</dcterms:modified>
</cp:coreProperties>
</file>