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F8B16" w14:textId="6DFEC8FA" w:rsidR="004D2492" w:rsidRPr="00A03C52" w:rsidRDefault="004D2492" w:rsidP="004D2492">
      <w:pPr>
        <w:spacing w:after="120" w:line="259" w:lineRule="auto"/>
        <w:jc w:val="right"/>
        <w:rPr>
          <w:rFonts w:eastAsia="Times New Roman" w:cstheme="minorHAnsi"/>
          <w:b/>
          <w:kern w:val="0"/>
          <w:sz w:val="28"/>
          <w:szCs w:val="28"/>
          <w14:ligatures w14:val="none"/>
        </w:rPr>
      </w:pPr>
    </w:p>
    <w:p w14:paraId="043D9B47" w14:textId="1F0F0792" w:rsidR="004D2492" w:rsidRPr="00A03C52" w:rsidRDefault="00A03C52" w:rsidP="00A03C52">
      <w:pPr>
        <w:jc w:val="center"/>
        <w:rPr>
          <w:rFonts w:ascii="Arial" w:eastAsia="Times New Roman" w:hAnsi="Arial" w:cs="Arial"/>
          <w:b/>
          <w:kern w:val="0"/>
          <w:sz w:val="24"/>
          <w:szCs w:val="24"/>
          <w:u w:val="single"/>
          <w14:ligatures w14:val="none"/>
        </w:rPr>
      </w:pPr>
      <w:r w:rsidRPr="00A03C52">
        <w:rPr>
          <w:rFonts w:ascii="Arial" w:eastAsia="Times New Roman" w:hAnsi="Arial" w:cs="Arial"/>
          <w:b/>
          <w:kern w:val="0"/>
          <w:sz w:val="24"/>
          <w:szCs w:val="24"/>
          <w:u w:val="single"/>
          <w14:ligatures w14:val="none"/>
        </w:rPr>
        <w:t>Comunicato stampa</w:t>
      </w:r>
    </w:p>
    <w:p w14:paraId="5062D14D" w14:textId="77777777" w:rsidR="00A03C52" w:rsidRPr="00A03C52" w:rsidRDefault="00A03C52" w:rsidP="00A03C52">
      <w:pPr>
        <w:jc w:val="center"/>
        <w:rPr>
          <w:rFonts w:ascii="Arial" w:eastAsia="Times New Roman" w:hAnsi="Arial" w:cs="Arial"/>
          <w:b/>
          <w:kern w:val="0"/>
          <w:sz w:val="24"/>
          <w:szCs w:val="24"/>
          <w:u w:val="single"/>
          <w14:ligatures w14:val="none"/>
        </w:rPr>
      </w:pPr>
    </w:p>
    <w:p w14:paraId="129FED1C" w14:textId="77777777" w:rsidR="00A03C52" w:rsidRPr="00A03C52" w:rsidRDefault="00A03C52" w:rsidP="00A03C52">
      <w:pPr>
        <w:jc w:val="center"/>
        <w:rPr>
          <w:rFonts w:ascii="Arial" w:eastAsia="Times New Roman" w:hAnsi="Arial" w:cs="Arial"/>
          <w:b/>
          <w:kern w:val="0"/>
          <w:sz w:val="24"/>
          <w:szCs w:val="24"/>
          <w:u w:val="single"/>
          <w14:ligatures w14:val="none"/>
        </w:rPr>
      </w:pPr>
    </w:p>
    <w:p w14:paraId="211DDD10" w14:textId="6AFA380F" w:rsidR="004D2492" w:rsidRPr="00A03C52" w:rsidRDefault="00A03C52" w:rsidP="00A03C52">
      <w:pPr>
        <w:jc w:val="center"/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</w:pPr>
      <w:r w:rsidRPr="00A03C52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>COOPERATIVE: UNA CIRCOLARE DI ALLEANZA DELLE COOPERATIVE E CONSIGLIO NAZIONALE DEI COMMERCIALISTI CHIARISCE LE CONSEGUENZE APPLICATIVE DEI NUOVI PRINCIPI CONTABILI</w:t>
      </w:r>
    </w:p>
    <w:p w14:paraId="333DC4E0" w14:textId="77777777" w:rsidR="00A03C52" w:rsidRPr="00A03C52" w:rsidRDefault="00A03C52" w:rsidP="00A03C52">
      <w:pPr>
        <w:jc w:val="center"/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</w:pPr>
    </w:p>
    <w:p w14:paraId="6C243F66" w14:textId="765BF72A" w:rsidR="00A03C52" w:rsidRPr="00A03C52" w:rsidRDefault="00A03C52" w:rsidP="00A03C52">
      <w:pPr>
        <w:jc w:val="center"/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</w:pPr>
      <w:r w:rsidRPr="00A03C52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>Il documento giunge a circa un anno dall’approvazione dei principi da parte dell’OIC (Organismo Italiano di Contabilità) e in prossimità della loro entrate in vigore, fissata per la fine del 2023</w:t>
      </w:r>
    </w:p>
    <w:p w14:paraId="4042AF90" w14:textId="77777777" w:rsidR="00A03C52" w:rsidRPr="00A03C52" w:rsidRDefault="00A03C52" w:rsidP="00A03C52">
      <w:pPr>
        <w:jc w:val="center"/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</w:pPr>
    </w:p>
    <w:p w14:paraId="405EB3AE" w14:textId="77777777" w:rsidR="004D2492" w:rsidRPr="00A03C52" w:rsidRDefault="004D2492" w:rsidP="00A03C52">
      <w:pPr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2D881CC0" w14:textId="04F3524B" w:rsidR="00FB3465" w:rsidRPr="00A03C52" w:rsidRDefault="000C456A" w:rsidP="00A03C52">
      <w:pPr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A03C52">
        <w:rPr>
          <w:rFonts w:ascii="Arial" w:eastAsia="Times New Roman" w:hAnsi="Arial" w:cs="Arial"/>
          <w:i/>
          <w:iCs/>
          <w:kern w:val="0"/>
          <w:sz w:val="24"/>
          <w:szCs w:val="24"/>
          <w14:ligatures w14:val="none"/>
        </w:rPr>
        <w:t>Roma, 1</w:t>
      </w:r>
      <w:r w:rsidR="00F40D67" w:rsidRPr="00A03C52">
        <w:rPr>
          <w:rFonts w:ascii="Arial" w:eastAsia="Times New Roman" w:hAnsi="Arial" w:cs="Arial"/>
          <w:i/>
          <w:iCs/>
          <w:kern w:val="0"/>
          <w:sz w:val="24"/>
          <w:szCs w:val="24"/>
          <w14:ligatures w14:val="none"/>
        </w:rPr>
        <w:t>5</w:t>
      </w:r>
      <w:r w:rsidR="00290B06" w:rsidRPr="00A03C52">
        <w:rPr>
          <w:rFonts w:ascii="Arial" w:eastAsia="Times New Roman" w:hAnsi="Arial" w:cs="Arial"/>
          <w:i/>
          <w:iCs/>
          <w:kern w:val="0"/>
          <w:sz w:val="24"/>
          <w:szCs w:val="24"/>
          <w14:ligatures w14:val="none"/>
        </w:rPr>
        <w:t xml:space="preserve"> </w:t>
      </w:r>
      <w:r w:rsidR="004D2492" w:rsidRPr="00A03C52">
        <w:rPr>
          <w:rFonts w:ascii="Arial" w:eastAsia="Times New Roman" w:hAnsi="Arial" w:cs="Arial"/>
          <w:i/>
          <w:iCs/>
          <w:kern w:val="0"/>
          <w:sz w:val="24"/>
          <w:szCs w:val="24"/>
          <w14:ligatures w14:val="none"/>
        </w:rPr>
        <w:t>novembre 2023</w:t>
      </w:r>
      <w:r w:rsidR="004D2492" w:rsidRPr="00A03C5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- </w:t>
      </w:r>
      <w:r w:rsidR="00FB3465" w:rsidRPr="00A03C5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In attuazione di un Protocollo d’intesa appena rinnovato, l’Alleanza delle </w:t>
      </w:r>
      <w:r w:rsidR="004D2492" w:rsidRPr="00A03C52">
        <w:rPr>
          <w:rFonts w:ascii="Arial" w:eastAsia="Times New Roman" w:hAnsi="Arial" w:cs="Arial"/>
          <w:kern w:val="0"/>
          <w:sz w:val="24"/>
          <w:szCs w:val="24"/>
          <w14:ligatures w14:val="none"/>
        </w:rPr>
        <w:t>C</w:t>
      </w:r>
      <w:r w:rsidR="00FB3465" w:rsidRPr="00A03C5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ooperative </w:t>
      </w:r>
      <w:r w:rsidR="004D2492" w:rsidRPr="00A03C52">
        <w:rPr>
          <w:rFonts w:ascii="Arial" w:eastAsia="Times New Roman" w:hAnsi="Arial" w:cs="Arial"/>
          <w:kern w:val="0"/>
          <w:sz w:val="24"/>
          <w:szCs w:val="24"/>
          <w14:ligatures w14:val="none"/>
        </w:rPr>
        <w:t>I</w:t>
      </w:r>
      <w:r w:rsidR="00FB3465" w:rsidRPr="00A03C5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taliane e il Consiglio Nazionale dei Dottori commercialisti </w:t>
      </w:r>
      <w:r w:rsidR="00C44FAA" w:rsidRPr="00A03C5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ed Esperti contabili </w:t>
      </w:r>
      <w:r w:rsidR="004D2492" w:rsidRPr="00A03C5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(CNDCEC) </w:t>
      </w:r>
      <w:r w:rsidR="00FB3465" w:rsidRPr="00A03C5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hanno pubblicato </w:t>
      </w:r>
      <w:r w:rsidR="00A03C52" w:rsidRPr="00A03C5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il documento </w:t>
      </w:r>
      <w:r w:rsidR="00A03C52" w:rsidRPr="00A03C52">
        <w:rPr>
          <w:rFonts w:ascii="Arial" w:hAnsi="Arial" w:cs="Arial"/>
          <w:sz w:val="24"/>
          <w:szCs w:val="24"/>
          <w:shd w:val="clear" w:color="auto" w:fill="FFFFFF"/>
        </w:rPr>
        <w:t>"</w:t>
      </w:r>
      <w:r w:rsidR="00A03C52" w:rsidRPr="00A03C52">
        <w:rPr>
          <w:rFonts w:ascii="Arial" w:hAnsi="Arial" w:cs="Arial"/>
          <w:b/>
          <w:bCs/>
          <w:sz w:val="24"/>
          <w:szCs w:val="24"/>
          <w:shd w:val="clear" w:color="auto" w:fill="FFFFFF"/>
        </w:rPr>
        <w:t>Specificità delle società cooperative negli emendamenti ai Principi contabili nazionali dell’Organismo Italiano di Contabilità. Lineamenti professionali ed operativi</w:t>
      </w:r>
      <w:r w:rsidR="00A03C52" w:rsidRPr="00A03C52">
        <w:rPr>
          <w:rFonts w:ascii="Arial" w:hAnsi="Arial" w:cs="Arial"/>
          <w:sz w:val="24"/>
          <w:szCs w:val="24"/>
          <w:shd w:val="clear" w:color="auto" w:fill="FFFFFF"/>
        </w:rPr>
        <w:t>"</w:t>
      </w:r>
      <w:r w:rsidR="00A03C52" w:rsidRPr="00A03C5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FB3465" w:rsidRPr="00A03C5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con </w:t>
      </w:r>
      <w:r w:rsidR="00A03C52" w:rsidRPr="00A03C52">
        <w:rPr>
          <w:rFonts w:ascii="Arial" w:eastAsia="Times New Roman" w:hAnsi="Arial" w:cs="Arial"/>
          <w:kern w:val="0"/>
          <w:sz w:val="24"/>
          <w:szCs w:val="24"/>
          <w14:ligatures w14:val="none"/>
        </w:rPr>
        <w:t>cui</w:t>
      </w:r>
      <w:r w:rsidR="00FB3465" w:rsidRPr="00A03C5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precisano e chiariscono tutte le conseguenze applicative relative ai nuovi principi contabili per le società cooperative.</w:t>
      </w:r>
    </w:p>
    <w:p w14:paraId="7227BC28" w14:textId="77777777" w:rsidR="00A03C52" w:rsidRPr="00A03C52" w:rsidRDefault="00A03C52" w:rsidP="00A03C52">
      <w:pPr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528C8AE8" w14:textId="08B01F24" w:rsidR="00FB3465" w:rsidRPr="00A03C52" w:rsidRDefault="004D2492" w:rsidP="00A03C52">
      <w:pPr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A03C52">
        <w:rPr>
          <w:rFonts w:ascii="Arial" w:eastAsia="Times New Roman" w:hAnsi="Arial" w:cs="Arial"/>
          <w:kern w:val="0"/>
          <w:sz w:val="24"/>
          <w:szCs w:val="24"/>
          <w14:ligatures w14:val="none"/>
        </w:rPr>
        <w:t>Il</w:t>
      </w:r>
      <w:r w:rsidR="00FB3465" w:rsidRPr="00A03C5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chiarimento, molto atteso dai professionisti e dalle cooperative, giunge a circa un anno dall’approvazione dei citati principi da parte dell’Organismo Italiano di Contabilità (OIC) e in prossimità della loro entrata in vigore, fissata per la fine del 2023.</w:t>
      </w:r>
    </w:p>
    <w:p w14:paraId="79B9EE65" w14:textId="77777777" w:rsidR="00A03C52" w:rsidRPr="00A03C52" w:rsidRDefault="00A03C52" w:rsidP="00A03C52">
      <w:pPr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D642C22" w14:textId="61CF8D32" w:rsidR="00FB3465" w:rsidRPr="00A03C52" w:rsidRDefault="004D2492" w:rsidP="00A03C52">
      <w:pPr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A03C5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Il documento </w:t>
      </w:r>
      <w:r w:rsidR="00521AAA" w:rsidRPr="00A03C52">
        <w:rPr>
          <w:rFonts w:ascii="Arial" w:eastAsia="Times New Roman" w:hAnsi="Arial" w:cs="Arial"/>
          <w:kern w:val="0"/>
          <w:sz w:val="24"/>
          <w:szCs w:val="24"/>
          <w14:ligatures w14:val="none"/>
        </w:rPr>
        <w:t>comune</w:t>
      </w:r>
      <w:r w:rsidR="00FB3465" w:rsidRPr="00A03C5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illustra il contenuto dei nuovi principi con riferimento </w:t>
      </w:r>
      <w:r w:rsidR="00C44FAA" w:rsidRPr="00A03C5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a </w:t>
      </w:r>
      <w:r w:rsidRPr="00A03C52">
        <w:rPr>
          <w:rFonts w:ascii="Arial" w:eastAsia="Times New Roman" w:hAnsi="Arial" w:cs="Arial"/>
          <w:kern w:val="0"/>
          <w:sz w:val="24"/>
          <w:szCs w:val="24"/>
          <w14:ligatures w14:val="none"/>
        </w:rPr>
        <w:t>diversi</w:t>
      </w:r>
      <w:r w:rsidR="00FB3465" w:rsidRPr="00A03C5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aspetti della contabilità delle cooperative, quali</w:t>
      </w:r>
      <w:r w:rsidRPr="00A03C52">
        <w:rPr>
          <w:rFonts w:ascii="Arial" w:eastAsia="Times New Roman" w:hAnsi="Arial" w:cs="Arial"/>
          <w:kern w:val="0"/>
          <w:sz w:val="24"/>
          <w:szCs w:val="24"/>
          <w14:ligatures w14:val="none"/>
        </w:rPr>
        <w:t>,</w:t>
      </w:r>
      <w:r w:rsidR="00FB3465" w:rsidRPr="00A03C5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ad es</w:t>
      </w:r>
      <w:r w:rsidRPr="00A03C52">
        <w:rPr>
          <w:rFonts w:ascii="Arial" w:eastAsia="Times New Roman" w:hAnsi="Arial" w:cs="Arial"/>
          <w:kern w:val="0"/>
          <w:sz w:val="24"/>
          <w:szCs w:val="24"/>
          <w14:ligatures w14:val="none"/>
        </w:rPr>
        <w:t>empio,</w:t>
      </w:r>
      <w:r w:rsidR="00FB3465" w:rsidRPr="00A03C5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gli strumenti finanziari tipici delle cooperative, la valutazione di alcune peculiari </w:t>
      </w:r>
      <w:r w:rsidR="00C44FAA" w:rsidRPr="00A03C52">
        <w:rPr>
          <w:rFonts w:ascii="Arial" w:eastAsia="Times New Roman" w:hAnsi="Arial" w:cs="Arial"/>
          <w:kern w:val="0"/>
          <w:sz w:val="24"/>
          <w:szCs w:val="24"/>
          <w14:ligatures w14:val="none"/>
        </w:rPr>
        <w:t>attività, le</w:t>
      </w:r>
      <w:r w:rsidR="00FB3465" w:rsidRPr="00A03C5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informazioni specifiche di bilancio e il trattamento contabile dei c</w:t>
      </w:r>
      <w:r w:rsidRPr="00A03C52">
        <w:rPr>
          <w:rFonts w:ascii="Arial" w:eastAsia="Times New Roman" w:hAnsi="Arial" w:cs="Arial"/>
          <w:kern w:val="0"/>
          <w:sz w:val="24"/>
          <w:szCs w:val="24"/>
          <w14:ligatures w14:val="none"/>
        </w:rPr>
        <w:t>osiddetti</w:t>
      </w:r>
      <w:r w:rsidR="00FB3465" w:rsidRPr="00A03C5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ristorni.</w:t>
      </w:r>
    </w:p>
    <w:p w14:paraId="0895F86E" w14:textId="77777777" w:rsidR="00A03C52" w:rsidRPr="00A03C52" w:rsidRDefault="00A03C52" w:rsidP="00A03C52">
      <w:pPr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1A8550E9" w14:textId="3114ED53" w:rsidR="004B6CA6" w:rsidRPr="00A03C52" w:rsidRDefault="00FB3465" w:rsidP="00A03C52">
      <w:pPr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A03C5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Sia l’intervento di OIC, sia il successivo chiarimento costituiscono un rilevante riconoscimento della specialità cooperativa e della </w:t>
      </w:r>
      <w:r w:rsidR="004D2492" w:rsidRPr="00A03C52">
        <w:rPr>
          <w:rFonts w:ascii="Arial" w:eastAsia="Times New Roman" w:hAnsi="Arial" w:cs="Arial"/>
          <w:kern w:val="0"/>
          <w:sz w:val="24"/>
          <w:szCs w:val="24"/>
          <w14:ligatures w14:val="none"/>
        </w:rPr>
        <w:t>su</w:t>
      </w:r>
      <w:r w:rsidRPr="00A03C5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a funzione sociale, </w:t>
      </w:r>
      <w:r w:rsidR="004D2492" w:rsidRPr="00A03C52">
        <w:rPr>
          <w:rFonts w:ascii="Arial" w:eastAsia="Times New Roman" w:hAnsi="Arial" w:cs="Arial"/>
          <w:kern w:val="0"/>
          <w:sz w:val="24"/>
          <w:szCs w:val="24"/>
          <w14:ligatures w14:val="none"/>
        </w:rPr>
        <w:t>garantendo</w:t>
      </w:r>
      <w:r w:rsidRPr="00A03C5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stabilità e certezza agli operatori </w:t>
      </w:r>
      <w:r w:rsidR="00DA37CF" w:rsidRPr="00A03C52">
        <w:rPr>
          <w:rFonts w:ascii="Arial" w:eastAsia="Times New Roman" w:hAnsi="Arial" w:cs="Arial"/>
          <w:kern w:val="0"/>
          <w:sz w:val="24"/>
          <w:szCs w:val="24"/>
          <w14:ligatures w14:val="none"/>
        </w:rPr>
        <w:t>del settore.</w:t>
      </w:r>
      <w:r w:rsidR="0042110C" w:rsidRPr="00A03C5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DA37CF" w:rsidRPr="00A03C5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Tra le novità </w:t>
      </w:r>
      <w:r w:rsidR="00C44FAA" w:rsidRPr="00A03C5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è </w:t>
      </w:r>
      <w:r w:rsidR="00DA37CF" w:rsidRPr="00A03C5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da segnalare il </w:t>
      </w:r>
      <w:r w:rsidR="0042110C" w:rsidRPr="00A03C5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definitivo </w:t>
      </w:r>
      <w:r w:rsidR="00DA37CF" w:rsidRPr="00A03C52">
        <w:rPr>
          <w:rFonts w:ascii="Arial" w:eastAsia="Times New Roman" w:hAnsi="Arial" w:cs="Arial"/>
          <w:kern w:val="0"/>
          <w:sz w:val="24"/>
          <w:szCs w:val="24"/>
          <w14:ligatures w14:val="none"/>
        </w:rPr>
        <w:t>riconoscimento degli strumenti finanziari tipici delle cooperative</w:t>
      </w:r>
      <w:r w:rsidR="00143278" w:rsidRPr="00A03C5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DA37CF" w:rsidRPr="00A03C5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quali titoli di partecipazione al capitale e, </w:t>
      </w:r>
      <w:r w:rsidR="004D2492" w:rsidRPr="00A03C52">
        <w:rPr>
          <w:rFonts w:ascii="Arial" w:eastAsia="Times New Roman" w:hAnsi="Arial" w:cs="Arial"/>
          <w:kern w:val="0"/>
          <w:sz w:val="24"/>
          <w:szCs w:val="24"/>
          <w14:ligatures w14:val="none"/>
        </w:rPr>
        <w:t>soprattutto</w:t>
      </w:r>
      <w:r w:rsidR="00DA37CF" w:rsidRPr="00A03C52">
        <w:rPr>
          <w:rFonts w:ascii="Arial" w:eastAsia="Times New Roman" w:hAnsi="Arial" w:cs="Arial"/>
          <w:kern w:val="0"/>
          <w:sz w:val="24"/>
          <w:szCs w:val="24"/>
          <w14:ligatures w14:val="none"/>
        </w:rPr>
        <w:t>, il chiarimento sul trattamento contabile del</w:t>
      </w:r>
      <w:r w:rsidRPr="00A03C5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ristorno</w:t>
      </w:r>
      <w:r w:rsidR="00DA37CF" w:rsidRPr="00A03C5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. In proposito è </w:t>
      </w:r>
      <w:r w:rsidRPr="00A03C52">
        <w:rPr>
          <w:rFonts w:ascii="Arial" w:eastAsia="Times New Roman" w:hAnsi="Arial" w:cs="Arial"/>
          <w:kern w:val="0"/>
          <w:sz w:val="24"/>
          <w:szCs w:val="24"/>
          <w14:ligatures w14:val="none"/>
        </w:rPr>
        <w:t>fa</w:t>
      </w:r>
      <w:r w:rsidR="00DA37CF" w:rsidRPr="00A03C52">
        <w:rPr>
          <w:rFonts w:ascii="Arial" w:eastAsia="Times New Roman" w:hAnsi="Arial" w:cs="Arial"/>
          <w:kern w:val="0"/>
          <w:sz w:val="24"/>
          <w:szCs w:val="24"/>
          <w14:ligatures w14:val="none"/>
        </w:rPr>
        <w:t>tta</w:t>
      </w:r>
      <w:r w:rsidRPr="00A03C5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salva la</w:t>
      </w:r>
      <w:r w:rsidR="00DA37CF" w:rsidRPr="00A03C5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Pr="00A03C52">
        <w:rPr>
          <w:rFonts w:ascii="Arial" w:eastAsia="Times New Roman" w:hAnsi="Arial" w:cs="Arial"/>
          <w:kern w:val="0"/>
          <w:sz w:val="24"/>
          <w:szCs w:val="24"/>
          <w14:ligatures w14:val="none"/>
        </w:rPr>
        <w:t>possibilità d</w:t>
      </w:r>
      <w:r w:rsidR="00C44FAA" w:rsidRPr="00A03C52">
        <w:rPr>
          <w:rFonts w:ascii="Arial" w:eastAsia="Times New Roman" w:hAnsi="Arial" w:cs="Arial"/>
          <w:kern w:val="0"/>
          <w:sz w:val="24"/>
          <w:szCs w:val="24"/>
          <w14:ligatures w14:val="none"/>
        </w:rPr>
        <w:t>el</w:t>
      </w:r>
      <w:r w:rsidRPr="00A03C5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doppio metodo di contabilizzazione </w:t>
      </w:r>
      <w:r w:rsidR="00C44FAA" w:rsidRPr="00A03C5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(costo o destinazione dell’utile di esercizio) </w:t>
      </w:r>
      <w:r w:rsidRPr="00A03C5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e </w:t>
      </w:r>
      <w:r w:rsidR="00DA37CF" w:rsidRPr="00A03C52">
        <w:rPr>
          <w:rFonts w:ascii="Arial" w:eastAsia="Times New Roman" w:hAnsi="Arial" w:cs="Arial"/>
          <w:kern w:val="0"/>
          <w:sz w:val="24"/>
          <w:szCs w:val="24"/>
          <w14:ligatures w14:val="none"/>
        </w:rPr>
        <w:t>sono ridotti</w:t>
      </w:r>
      <w:r w:rsidRPr="00A03C5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al minimo gli oneri di adeguamento</w:t>
      </w:r>
      <w:r w:rsidR="00DA37CF" w:rsidRPr="00A03C5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Pr="00A03C52">
        <w:rPr>
          <w:rFonts w:ascii="Arial" w:eastAsia="Times New Roman" w:hAnsi="Arial" w:cs="Arial"/>
          <w:kern w:val="0"/>
          <w:sz w:val="24"/>
          <w:szCs w:val="24"/>
          <w14:ligatures w14:val="none"/>
        </w:rPr>
        <w:t>per l</w:t>
      </w:r>
      <w:r w:rsidR="00DA37CF" w:rsidRPr="00A03C52">
        <w:rPr>
          <w:rFonts w:ascii="Arial" w:eastAsia="Times New Roman" w:hAnsi="Arial" w:cs="Arial"/>
          <w:kern w:val="0"/>
          <w:sz w:val="24"/>
          <w:szCs w:val="24"/>
          <w14:ligatures w14:val="none"/>
        </w:rPr>
        <w:t>e</w:t>
      </w:r>
      <w:r w:rsidRPr="00A03C5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cooperativ</w:t>
      </w:r>
      <w:r w:rsidR="00DA37CF" w:rsidRPr="00A03C5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e, </w:t>
      </w:r>
      <w:r w:rsidR="004D2492" w:rsidRPr="00A03C5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che, </w:t>
      </w:r>
      <w:r w:rsidR="00DA37CF" w:rsidRPr="00A03C5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come </w:t>
      </w:r>
      <w:r w:rsidR="004D2492" w:rsidRPr="00A03C5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viene suggerito nella circolare di </w:t>
      </w:r>
      <w:r w:rsidR="00DA37CF" w:rsidRPr="00A03C5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Alleanza </w:t>
      </w:r>
      <w:r w:rsidR="004D2492" w:rsidRPr="00A03C5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delle Cooperative </w:t>
      </w:r>
      <w:r w:rsidR="00DA37CF" w:rsidRPr="00A03C52">
        <w:rPr>
          <w:rFonts w:ascii="Arial" w:eastAsia="Times New Roman" w:hAnsi="Arial" w:cs="Arial"/>
          <w:kern w:val="0"/>
          <w:sz w:val="24"/>
          <w:szCs w:val="24"/>
          <w14:ligatures w14:val="none"/>
        </w:rPr>
        <w:t>e CNDCEC</w:t>
      </w:r>
      <w:r w:rsidR="004D2492" w:rsidRPr="00A03C52">
        <w:rPr>
          <w:rFonts w:ascii="Arial" w:eastAsia="Times New Roman" w:hAnsi="Arial" w:cs="Arial"/>
          <w:kern w:val="0"/>
          <w:sz w:val="24"/>
          <w:szCs w:val="24"/>
          <w14:ligatures w14:val="none"/>
        </w:rPr>
        <w:t>,</w:t>
      </w:r>
      <w:r w:rsidR="00DA37CF" w:rsidRPr="00A03C5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potrebbero </w:t>
      </w:r>
      <w:r w:rsidR="00C44FAA" w:rsidRPr="00A03C52">
        <w:rPr>
          <w:rFonts w:ascii="Arial" w:eastAsia="Times New Roman" w:hAnsi="Arial" w:cs="Arial"/>
          <w:kern w:val="0"/>
          <w:sz w:val="24"/>
          <w:szCs w:val="24"/>
          <w14:ligatures w14:val="none"/>
        </w:rPr>
        <w:t>recepire le</w:t>
      </w:r>
      <w:r w:rsidR="00DA37CF" w:rsidRPr="00A03C5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C44FAA" w:rsidRPr="00A03C52">
        <w:rPr>
          <w:rFonts w:ascii="Arial" w:eastAsia="Times New Roman" w:hAnsi="Arial" w:cs="Arial"/>
          <w:kern w:val="0"/>
          <w:sz w:val="24"/>
          <w:szCs w:val="24"/>
          <w14:ligatures w14:val="none"/>
        </w:rPr>
        <w:t>raccomandazioni</w:t>
      </w:r>
      <w:r w:rsidR="00DA37CF" w:rsidRPr="00A03C5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contabili </w:t>
      </w:r>
      <w:r w:rsidR="00C44FAA" w:rsidRPr="00A03C5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dei </w:t>
      </w:r>
      <w:r w:rsidR="004D2492" w:rsidRPr="00A03C52">
        <w:rPr>
          <w:rFonts w:ascii="Arial" w:eastAsia="Times New Roman" w:hAnsi="Arial" w:cs="Arial"/>
          <w:kern w:val="0"/>
          <w:sz w:val="24"/>
          <w:szCs w:val="24"/>
          <w14:ligatures w14:val="none"/>
        </w:rPr>
        <w:t>nuovi principi contabili</w:t>
      </w:r>
      <w:r w:rsidR="00C44FAA" w:rsidRPr="00A03C52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OIC </w:t>
      </w:r>
      <w:r w:rsidR="00DA37CF" w:rsidRPr="00A03C52">
        <w:rPr>
          <w:rFonts w:ascii="Arial" w:eastAsia="Times New Roman" w:hAnsi="Arial" w:cs="Arial"/>
          <w:kern w:val="0"/>
          <w:sz w:val="24"/>
          <w:szCs w:val="24"/>
          <w14:ligatures w14:val="none"/>
        </w:rPr>
        <w:t>modificando esclusivamente i regolamenti intern</w:t>
      </w:r>
      <w:r w:rsidR="00C44FAA" w:rsidRPr="00A03C52">
        <w:rPr>
          <w:rFonts w:ascii="Arial" w:eastAsia="Times New Roman" w:hAnsi="Arial" w:cs="Arial"/>
          <w:kern w:val="0"/>
          <w:sz w:val="24"/>
          <w:szCs w:val="24"/>
          <w14:ligatures w14:val="none"/>
        </w:rPr>
        <w:t>i.</w:t>
      </w:r>
    </w:p>
    <w:sectPr w:rsidR="004B6CA6" w:rsidRPr="00A03C52" w:rsidSect="00E1194E">
      <w:headerReference w:type="default" r:id="rId11"/>
      <w:footerReference w:type="default" r:id="rId12"/>
      <w:pgSz w:w="11906" w:h="16838"/>
      <w:pgMar w:top="1417" w:right="141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18352" w14:textId="77777777" w:rsidR="00BE218C" w:rsidRDefault="00BE218C" w:rsidP="00EC0E39">
      <w:r>
        <w:separator/>
      </w:r>
    </w:p>
  </w:endnote>
  <w:endnote w:type="continuationSeparator" w:id="0">
    <w:p w14:paraId="6C0025E5" w14:textId="77777777" w:rsidR="00BE218C" w:rsidRDefault="00BE218C" w:rsidP="00EC0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71712115"/>
      <w:docPartObj>
        <w:docPartGallery w:val="Page Numbers (Bottom of Page)"/>
        <w:docPartUnique/>
      </w:docPartObj>
    </w:sdtPr>
    <w:sdtContent>
      <w:p w14:paraId="46111DB8" w14:textId="32B3CC68" w:rsidR="00EC0E39" w:rsidRDefault="00EC0E39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7301">
          <w:rPr>
            <w:noProof/>
          </w:rPr>
          <w:t>1</w:t>
        </w:r>
        <w:r>
          <w:fldChar w:fldCharType="end"/>
        </w:r>
      </w:p>
    </w:sdtContent>
  </w:sdt>
  <w:p w14:paraId="78396BEB" w14:textId="77777777" w:rsidR="00EC0E39" w:rsidRDefault="00EC0E3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E9861" w14:textId="77777777" w:rsidR="00BE218C" w:rsidRDefault="00BE218C" w:rsidP="00EC0E39">
      <w:r>
        <w:separator/>
      </w:r>
    </w:p>
  </w:footnote>
  <w:footnote w:type="continuationSeparator" w:id="0">
    <w:p w14:paraId="464B888C" w14:textId="77777777" w:rsidR="00BE218C" w:rsidRDefault="00BE218C" w:rsidP="00EC0E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288D2" w14:textId="5AF9B3A3" w:rsidR="00EC0E39" w:rsidRDefault="00290B06">
    <w:pPr>
      <w:pStyle w:val="Intestazione"/>
    </w:pPr>
    <w:r>
      <w:rPr>
        <w:noProof/>
      </w:rPr>
      <w:t xml:space="preserve"> </w:t>
    </w:r>
    <w:r>
      <w:rPr>
        <w:noProof/>
      </w:rPr>
      <w:drawing>
        <wp:inline distT="0" distB="0" distL="0" distR="0" wp14:anchorId="386D5FBD" wp14:editId="56FEA23C">
          <wp:extent cx="1994535" cy="752475"/>
          <wp:effectExtent l="0" t="0" r="0" b="0"/>
          <wp:docPr id="3" name="Immagine3" descr="logo_con scritta_latera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3" descr="logo_con scritta_laterale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94535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                  </w:t>
    </w:r>
    <w:r>
      <w:rPr>
        <w:noProof/>
      </w:rPr>
      <w:drawing>
        <wp:inline distT="0" distB="0" distL="0" distR="0" wp14:anchorId="0EB52129" wp14:editId="0D6D7B7E">
          <wp:extent cx="3017520" cy="1342327"/>
          <wp:effectExtent l="0" t="0" r="0" b="0"/>
          <wp:docPr id="1" name="Immagine 1" descr="cid:image001.jpg@01DA1195.13162A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 descr="cid:image001.jpg@01DA1195.13162A70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2314" cy="14111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12BA2"/>
    <w:multiLevelType w:val="multilevel"/>
    <w:tmpl w:val="CEA644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99B2BCC"/>
    <w:multiLevelType w:val="multilevel"/>
    <w:tmpl w:val="CEA644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50765E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71961AF"/>
    <w:multiLevelType w:val="multilevel"/>
    <w:tmpl w:val="CEA644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76A64F0"/>
    <w:multiLevelType w:val="multilevel"/>
    <w:tmpl w:val="CEA644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A03104F"/>
    <w:multiLevelType w:val="multilevel"/>
    <w:tmpl w:val="27DCAF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BC75288"/>
    <w:multiLevelType w:val="hybridMultilevel"/>
    <w:tmpl w:val="7960CC2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5B74E7"/>
    <w:multiLevelType w:val="multilevel"/>
    <w:tmpl w:val="CEA644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0B678EC"/>
    <w:multiLevelType w:val="hybridMultilevel"/>
    <w:tmpl w:val="B142E7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0A1EF7"/>
    <w:multiLevelType w:val="multilevel"/>
    <w:tmpl w:val="2C3A385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D4E2AFA"/>
    <w:multiLevelType w:val="multilevel"/>
    <w:tmpl w:val="CEA644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05E2810"/>
    <w:multiLevelType w:val="multilevel"/>
    <w:tmpl w:val="58D6859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2627A31"/>
    <w:multiLevelType w:val="multilevel"/>
    <w:tmpl w:val="27DCAF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2DD487B"/>
    <w:multiLevelType w:val="hybridMultilevel"/>
    <w:tmpl w:val="B8C03442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4F36124"/>
    <w:multiLevelType w:val="hybridMultilevel"/>
    <w:tmpl w:val="CF9624B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C10C56"/>
    <w:multiLevelType w:val="hybridMultilevel"/>
    <w:tmpl w:val="E6CCB31C"/>
    <w:lvl w:ilvl="0" w:tplc="F37EBEC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A91F7A"/>
    <w:multiLevelType w:val="hybridMultilevel"/>
    <w:tmpl w:val="F90ABBF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D7509B"/>
    <w:multiLevelType w:val="hybridMultilevel"/>
    <w:tmpl w:val="27D45FBE"/>
    <w:lvl w:ilvl="0" w:tplc="47F4D0C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5091134"/>
    <w:multiLevelType w:val="multilevel"/>
    <w:tmpl w:val="3196A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3D6986"/>
    <w:multiLevelType w:val="multilevel"/>
    <w:tmpl w:val="CEA644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618E41DF"/>
    <w:multiLevelType w:val="multilevel"/>
    <w:tmpl w:val="CEA644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6B376AD9"/>
    <w:multiLevelType w:val="hybridMultilevel"/>
    <w:tmpl w:val="DC7283F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8730C1"/>
    <w:multiLevelType w:val="hybridMultilevel"/>
    <w:tmpl w:val="0E58CBE2"/>
    <w:lvl w:ilvl="0" w:tplc="9690916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C91015"/>
    <w:multiLevelType w:val="hybridMultilevel"/>
    <w:tmpl w:val="B61E370A"/>
    <w:lvl w:ilvl="0" w:tplc="15A6F53C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8E71B49"/>
    <w:multiLevelType w:val="hybridMultilevel"/>
    <w:tmpl w:val="00AE94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563541">
    <w:abstractNumId w:val="2"/>
  </w:num>
  <w:num w:numId="2" w16cid:durableId="1593707976">
    <w:abstractNumId w:val="18"/>
  </w:num>
  <w:num w:numId="3" w16cid:durableId="488911052">
    <w:abstractNumId w:val="8"/>
  </w:num>
  <w:num w:numId="4" w16cid:durableId="778910531">
    <w:abstractNumId w:val="6"/>
  </w:num>
  <w:num w:numId="5" w16cid:durableId="308096663">
    <w:abstractNumId w:val="16"/>
  </w:num>
  <w:num w:numId="6" w16cid:durableId="432093236">
    <w:abstractNumId w:val="22"/>
  </w:num>
  <w:num w:numId="7" w16cid:durableId="1325662476">
    <w:abstractNumId w:val="2"/>
  </w:num>
  <w:num w:numId="8" w16cid:durableId="1619533193">
    <w:abstractNumId w:val="21"/>
  </w:num>
  <w:num w:numId="9" w16cid:durableId="1144543622">
    <w:abstractNumId w:val="23"/>
  </w:num>
  <w:num w:numId="10" w16cid:durableId="1602369831">
    <w:abstractNumId w:val="13"/>
  </w:num>
  <w:num w:numId="11" w16cid:durableId="1362046941">
    <w:abstractNumId w:val="17"/>
  </w:num>
  <w:num w:numId="12" w16cid:durableId="803430484">
    <w:abstractNumId w:val="1"/>
  </w:num>
  <w:num w:numId="13" w16cid:durableId="486940364">
    <w:abstractNumId w:val="12"/>
  </w:num>
  <w:num w:numId="14" w16cid:durableId="1820464016">
    <w:abstractNumId w:val="24"/>
  </w:num>
  <w:num w:numId="15" w16cid:durableId="1741361737">
    <w:abstractNumId w:val="5"/>
  </w:num>
  <w:num w:numId="16" w16cid:durableId="1591768512">
    <w:abstractNumId w:val="9"/>
  </w:num>
  <w:num w:numId="17" w16cid:durableId="926187231">
    <w:abstractNumId w:val="11"/>
  </w:num>
  <w:num w:numId="18" w16cid:durableId="385418355">
    <w:abstractNumId w:val="14"/>
  </w:num>
  <w:num w:numId="19" w16cid:durableId="674112077">
    <w:abstractNumId w:val="15"/>
  </w:num>
  <w:num w:numId="20" w16cid:durableId="1400403685">
    <w:abstractNumId w:val="20"/>
  </w:num>
  <w:num w:numId="21" w16cid:durableId="855457962">
    <w:abstractNumId w:val="4"/>
  </w:num>
  <w:num w:numId="22" w16cid:durableId="1165247471">
    <w:abstractNumId w:val="3"/>
  </w:num>
  <w:num w:numId="23" w16cid:durableId="282538149">
    <w:abstractNumId w:val="7"/>
  </w:num>
  <w:num w:numId="24" w16cid:durableId="1291862347">
    <w:abstractNumId w:val="19"/>
  </w:num>
  <w:num w:numId="25" w16cid:durableId="1408073402">
    <w:abstractNumId w:val="0"/>
  </w:num>
  <w:num w:numId="26" w16cid:durableId="69222278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A16"/>
    <w:rsid w:val="0002341A"/>
    <w:rsid w:val="000931AE"/>
    <w:rsid w:val="000C456A"/>
    <w:rsid w:val="000F4130"/>
    <w:rsid w:val="001022EC"/>
    <w:rsid w:val="00126AB7"/>
    <w:rsid w:val="00143278"/>
    <w:rsid w:val="00164E25"/>
    <w:rsid w:val="00180720"/>
    <w:rsid w:val="001D3926"/>
    <w:rsid w:val="00200EC5"/>
    <w:rsid w:val="00210E72"/>
    <w:rsid w:val="00245218"/>
    <w:rsid w:val="00290B06"/>
    <w:rsid w:val="002E2B0A"/>
    <w:rsid w:val="002F7C8E"/>
    <w:rsid w:val="0031464E"/>
    <w:rsid w:val="003654EA"/>
    <w:rsid w:val="0037204E"/>
    <w:rsid w:val="00392F91"/>
    <w:rsid w:val="003B56B9"/>
    <w:rsid w:val="003D1E3B"/>
    <w:rsid w:val="003F6DBA"/>
    <w:rsid w:val="0042110C"/>
    <w:rsid w:val="00424FA4"/>
    <w:rsid w:val="004544ED"/>
    <w:rsid w:val="00487EAA"/>
    <w:rsid w:val="00491946"/>
    <w:rsid w:val="004937CF"/>
    <w:rsid w:val="004B1585"/>
    <w:rsid w:val="004B6CA6"/>
    <w:rsid w:val="004D2492"/>
    <w:rsid w:val="004D3EA1"/>
    <w:rsid w:val="00521AAA"/>
    <w:rsid w:val="00530122"/>
    <w:rsid w:val="00543074"/>
    <w:rsid w:val="00545BC7"/>
    <w:rsid w:val="005737E6"/>
    <w:rsid w:val="00575AB6"/>
    <w:rsid w:val="005C1F69"/>
    <w:rsid w:val="005C48A4"/>
    <w:rsid w:val="005D0FE1"/>
    <w:rsid w:val="005D61CF"/>
    <w:rsid w:val="006004C2"/>
    <w:rsid w:val="0062642A"/>
    <w:rsid w:val="006A7859"/>
    <w:rsid w:val="006B4572"/>
    <w:rsid w:val="006B5EC4"/>
    <w:rsid w:val="006B6EAF"/>
    <w:rsid w:val="006C7301"/>
    <w:rsid w:val="006E5DC0"/>
    <w:rsid w:val="006E6ABA"/>
    <w:rsid w:val="006F0860"/>
    <w:rsid w:val="006F1BC8"/>
    <w:rsid w:val="0073331D"/>
    <w:rsid w:val="00735653"/>
    <w:rsid w:val="0074203E"/>
    <w:rsid w:val="0076428A"/>
    <w:rsid w:val="007F0283"/>
    <w:rsid w:val="007F7F58"/>
    <w:rsid w:val="00801E3E"/>
    <w:rsid w:val="00853CF4"/>
    <w:rsid w:val="00881D8C"/>
    <w:rsid w:val="00895944"/>
    <w:rsid w:val="008C5023"/>
    <w:rsid w:val="00921937"/>
    <w:rsid w:val="009333B9"/>
    <w:rsid w:val="00955B27"/>
    <w:rsid w:val="009778D7"/>
    <w:rsid w:val="0098006C"/>
    <w:rsid w:val="00993C6A"/>
    <w:rsid w:val="009B614C"/>
    <w:rsid w:val="009E6EBF"/>
    <w:rsid w:val="00A0250E"/>
    <w:rsid w:val="00A03C52"/>
    <w:rsid w:val="00A07005"/>
    <w:rsid w:val="00A132A0"/>
    <w:rsid w:val="00A21F30"/>
    <w:rsid w:val="00A31131"/>
    <w:rsid w:val="00A6692B"/>
    <w:rsid w:val="00A9247C"/>
    <w:rsid w:val="00AC1C96"/>
    <w:rsid w:val="00AF75ED"/>
    <w:rsid w:val="00B0456E"/>
    <w:rsid w:val="00B07C89"/>
    <w:rsid w:val="00B47B13"/>
    <w:rsid w:val="00B8613E"/>
    <w:rsid w:val="00B8676A"/>
    <w:rsid w:val="00BB5A16"/>
    <w:rsid w:val="00BE218C"/>
    <w:rsid w:val="00BE50C6"/>
    <w:rsid w:val="00C065AF"/>
    <w:rsid w:val="00C102F2"/>
    <w:rsid w:val="00C31FF1"/>
    <w:rsid w:val="00C32BDA"/>
    <w:rsid w:val="00C44FAA"/>
    <w:rsid w:val="00CE0289"/>
    <w:rsid w:val="00CF461D"/>
    <w:rsid w:val="00D114E7"/>
    <w:rsid w:val="00D2042B"/>
    <w:rsid w:val="00D32FDB"/>
    <w:rsid w:val="00D3457B"/>
    <w:rsid w:val="00D43C23"/>
    <w:rsid w:val="00D712BE"/>
    <w:rsid w:val="00D97FE7"/>
    <w:rsid w:val="00DA37CF"/>
    <w:rsid w:val="00DA6635"/>
    <w:rsid w:val="00DB2CD3"/>
    <w:rsid w:val="00DE3931"/>
    <w:rsid w:val="00E1194E"/>
    <w:rsid w:val="00E23248"/>
    <w:rsid w:val="00E57974"/>
    <w:rsid w:val="00EC0E39"/>
    <w:rsid w:val="00EE2AA5"/>
    <w:rsid w:val="00EF1603"/>
    <w:rsid w:val="00F016B1"/>
    <w:rsid w:val="00F0236E"/>
    <w:rsid w:val="00F1119B"/>
    <w:rsid w:val="00F26C8D"/>
    <w:rsid w:val="00F40D67"/>
    <w:rsid w:val="00F53E69"/>
    <w:rsid w:val="00F628DE"/>
    <w:rsid w:val="00F76C3D"/>
    <w:rsid w:val="00F9255D"/>
    <w:rsid w:val="00FA77F7"/>
    <w:rsid w:val="00FB3465"/>
    <w:rsid w:val="00FC51C0"/>
    <w:rsid w:val="00FF4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1A3B09"/>
  <w15:chartTrackingRefBased/>
  <w15:docId w15:val="{A3EEB977-E410-A346-A9B3-2E63E1562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75AB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97FE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D97FE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76428A"/>
  </w:style>
  <w:style w:type="paragraph" w:styleId="Paragrafoelenco">
    <w:name w:val="List Paragraph"/>
    <w:aliases w:val="Dot pt,F5 List Paragraph,List Paragraph Char Char Char,Indicator Text,Numbered Para 1,Bullet 1,Bullet Points,List Paragraph2,MAIN CONTENT,Normal numbered,Colorful List - Accent 11,No Spacing1,Issue Action POC,3,Toc 1.1.1,List Paragraph1"/>
    <w:basedOn w:val="Normale"/>
    <w:link w:val="ParagrafoelencoCarattere"/>
    <w:uiPriority w:val="34"/>
    <w:qFormat/>
    <w:rsid w:val="00E1194E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rsid w:val="00D97FE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D97FE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ParagrafoelencoCarattere">
    <w:name w:val="Paragrafo elenco Carattere"/>
    <w:aliases w:val="Dot pt Carattere,F5 List Paragraph Carattere,List Paragraph Char Char Char Carattere,Indicator Text Carattere,Numbered Para 1 Carattere,Bullet 1 Carattere,Bullet Points Carattere,List Paragraph2 Carattere,No Spacing1 Carattere"/>
    <w:link w:val="Paragrafoelenco"/>
    <w:uiPriority w:val="34"/>
    <w:qFormat/>
    <w:locked/>
    <w:rsid w:val="00CF461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D1E3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D1E3B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EC0E3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C0E39"/>
  </w:style>
  <w:style w:type="paragraph" w:styleId="Pidipagina">
    <w:name w:val="footer"/>
    <w:basedOn w:val="Normale"/>
    <w:link w:val="PidipaginaCarattere"/>
    <w:uiPriority w:val="99"/>
    <w:unhideWhenUsed/>
    <w:rsid w:val="00EC0E3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C0E39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75AB6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75AB6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75AB6"/>
    <w:rPr>
      <w:vertAlign w:val="superscrip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75A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sione">
    <w:name w:val="Revision"/>
    <w:hidden/>
    <w:uiPriority w:val="99"/>
    <w:semiHidden/>
    <w:rsid w:val="003B56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4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1.jpg@01DA1195.13162A70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F70EBB728815B4589A07B9DA34AAB9A" ma:contentTypeVersion="17" ma:contentTypeDescription="Creare un nuovo documento." ma:contentTypeScope="" ma:versionID="11b086ec3947b86a427dd82d7cb0844c">
  <xsd:schema xmlns:xsd="http://www.w3.org/2001/XMLSchema" xmlns:xs="http://www.w3.org/2001/XMLSchema" xmlns:p="http://schemas.microsoft.com/office/2006/metadata/properties" xmlns:ns3="db6abc92-aec8-4af2-95f8-5ef038a17f14" xmlns:ns4="39722538-c91a-4711-813c-59ae5758daef" targetNamespace="http://schemas.microsoft.com/office/2006/metadata/properties" ma:root="true" ma:fieldsID="32904d30e534553afa47fdaecfae971f" ns3:_="" ns4:_="">
    <xsd:import namespace="db6abc92-aec8-4af2-95f8-5ef038a17f14"/>
    <xsd:import namespace="39722538-c91a-4711-813c-59ae5758dae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6abc92-aec8-4af2-95f8-5ef038a17f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722538-c91a-4711-813c-59ae5758dae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b6abc92-aec8-4af2-95f8-5ef038a17f1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5194AD-A4F5-4578-9B04-2858735DC0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7CE6DF-978D-4E98-B496-AE1F67A7FB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6abc92-aec8-4af2-95f8-5ef038a17f14"/>
    <ds:schemaRef ds:uri="39722538-c91a-4711-813c-59ae5758da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B440F6-85B7-4B8B-8B7B-8B630D1E20C4}">
  <ds:schemaRefs>
    <ds:schemaRef ds:uri="http://schemas.microsoft.com/office/2006/metadata/properties"/>
    <ds:schemaRef ds:uri="http://schemas.microsoft.com/office/infopath/2007/PartnerControls"/>
    <ds:schemaRef ds:uri="db6abc92-aec8-4af2-95f8-5ef038a17f14"/>
  </ds:schemaRefs>
</ds:datastoreItem>
</file>

<file path=customXml/itemProps4.xml><?xml version="1.0" encoding="utf-8"?>
<ds:datastoreItem xmlns:ds="http://schemas.openxmlformats.org/officeDocument/2006/customXml" ds:itemID="{408E5A5A-CDF8-4388-AF68-575828DEE7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Mingrone</dc:creator>
  <cp:keywords/>
  <dc:description/>
  <cp:lastModifiedBy>Mastrogiacomo Tiziana</cp:lastModifiedBy>
  <cp:revision>4</cp:revision>
  <cp:lastPrinted>2023-11-02T16:53:00Z</cp:lastPrinted>
  <dcterms:created xsi:type="dcterms:W3CDTF">2023-11-14T09:06:00Z</dcterms:created>
  <dcterms:modified xsi:type="dcterms:W3CDTF">2023-11-15T10:43:00Z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0x0101009F70EBB728815B4589A07B9DA34AAB9A</vt:lpwstr>
  </property>
</Properties>
</file>