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Default="006C3945" w:rsidP="006C3945">
      <w:pPr>
        <w:rPr>
          <w:rFonts w:eastAsia="Times New Roman"/>
        </w:rPr>
      </w:pPr>
      <w:bookmarkStart w:id="0" w:name="_Hlk9254447"/>
    </w:p>
    <w:p w:rsidR="00566A4A" w:rsidRDefault="00566A4A" w:rsidP="00566A4A">
      <w:pPr>
        <w:pStyle w:val="Body1"/>
        <w:jc w:val="center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COMUNICATO STAMPA</w:t>
      </w:r>
    </w:p>
    <w:p w:rsidR="00566A4A" w:rsidRDefault="00566A4A" w:rsidP="00566A4A">
      <w:pPr>
        <w:spacing w:line="254" w:lineRule="auto"/>
        <w:ind w:right="111"/>
        <w:rPr>
          <w:rFonts w:ascii="Helvetica" w:eastAsia="Arial Unicode MS" w:hAnsi="Helvetica" w:cs="Times New Roman"/>
          <w:color w:val="000000"/>
          <w:szCs w:val="20"/>
          <w:lang w:eastAsia="it-IT"/>
        </w:rPr>
      </w:pPr>
    </w:p>
    <w:p w:rsidR="00566A4A" w:rsidRDefault="00566A4A" w:rsidP="00566A4A">
      <w:pPr>
        <w:jc w:val="both"/>
        <w:rPr>
          <w:rFonts w:ascii="Arial" w:hAnsi="Arial" w:cs="Arial"/>
          <w:sz w:val="23"/>
          <w:szCs w:val="23"/>
        </w:rPr>
      </w:pPr>
    </w:p>
    <w:bookmarkEnd w:id="0"/>
    <w:p w:rsidR="004B5E46" w:rsidRDefault="004B5E46" w:rsidP="004B5E46">
      <w:pPr>
        <w:pStyle w:val="s4"/>
        <w:spacing w:before="0" w:beforeAutospacing="0" w:after="0" w:afterAutospacing="0"/>
        <w:jc w:val="both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 </w:t>
      </w:r>
    </w:p>
    <w:p w:rsidR="004B5E46" w:rsidRDefault="004B5E46" w:rsidP="004B5E46">
      <w:pPr>
        <w:pStyle w:val="s4"/>
        <w:spacing w:before="0" w:beforeAutospacing="0" w:after="0" w:afterAutospacing="0"/>
        <w:jc w:val="both"/>
        <w:rPr>
          <w:rFonts w:ascii="-webkit-standard" w:hAnsi="-webkit-standard"/>
          <w:sz w:val="27"/>
          <w:szCs w:val="27"/>
        </w:rPr>
      </w:pPr>
      <w:r>
        <w:rPr>
          <w:rFonts w:ascii="-webkit-standard" w:hAnsi="-webkit-standard"/>
          <w:sz w:val="27"/>
          <w:szCs w:val="27"/>
        </w:rPr>
        <w:t>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bumpedfont15"/>
          <w:rFonts w:ascii="Arial" w:hAnsi="Arial" w:cs="Arial"/>
          <w:b/>
          <w:bCs/>
          <w:sz w:val="24"/>
          <w:szCs w:val="24"/>
        </w:rPr>
        <w:t>COMPENSO SINDACI, DAL MEF RIDUZIONE NELLE CONTROLLATE PUBBLICHE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Style w:val="bumpedfont15"/>
          <w:rFonts w:ascii="Arial" w:hAnsi="Arial" w:cs="Arial"/>
          <w:b/>
          <w:bCs/>
          <w:sz w:val="24"/>
          <w:szCs w:val="24"/>
        </w:rPr>
      </w:pP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bumpedfont15"/>
          <w:rFonts w:ascii="Arial" w:hAnsi="Arial" w:cs="Arial"/>
          <w:b/>
          <w:bCs/>
          <w:sz w:val="24"/>
          <w:szCs w:val="24"/>
        </w:rPr>
        <w:t>Emerge da una ricerca avviata dai Commercialisti per verificare l’impatto delle norme della bozza di Regolamento del Ministero sugli onorari nelle non quotate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Fonts w:ascii="Arial" w:hAnsi="Arial" w:cs="Arial"/>
          <w:sz w:val="24"/>
          <w:szCs w:val="24"/>
        </w:rPr>
        <w:t> 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s8"/>
          <w:rFonts w:ascii="Arial" w:hAnsi="Arial" w:cs="Arial"/>
          <w:i/>
          <w:iCs/>
          <w:sz w:val="24"/>
          <w:szCs w:val="24"/>
        </w:rPr>
        <w:t>Roma, 1</w:t>
      </w:r>
      <w:r w:rsidR="008D629E">
        <w:rPr>
          <w:rStyle w:val="s8"/>
          <w:rFonts w:ascii="Arial" w:hAnsi="Arial" w:cs="Arial"/>
          <w:i/>
          <w:iCs/>
          <w:sz w:val="24"/>
          <w:szCs w:val="24"/>
        </w:rPr>
        <w:t>5</w:t>
      </w:r>
      <w:r w:rsidRPr="004B5E46">
        <w:rPr>
          <w:rStyle w:val="s8"/>
          <w:rFonts w:ascii="Arial" w:hAnsi="Arial" w:cs="Arial"/>
          <w:i/>
          <w:iCs/>
          <w:sz w:val="24"/>
          <w:szCs w:val="24"/>
        </w:rPr>
        <w:t xml:space="preserve"> luglio 2019</w:t>
      </w:r>
      <w:r w:rsidRPr="004B5E46">
        <w:rPr>
          <w:rStyle w:val="s9"/>
          <w:rFonts w:ascii="Arial" w:hAnsi="Arial" w:cs="Arial"/>
          <w:sz w:val="24"/>
          <w:szCs w:val="24"/>
        </w:rPr>
        <w:t> – Il Consiglio Nazionale dei Dottori Commercialisti e degli Esperti Contabili, sulla base di una ricerca avviata dalla sua Fondazione, ha verificato l’impatto che le norme della bozza di Regolamento </w:t>
      </w:r>
      <w:proofErr w:type="spellStart"/>
      <w:r w:rsidRPr="004B5E46">
        <w:rPr>
          <w:rStyle w:val="s9"/>
          <w:rFonts w:ascii="Arial" w:hAnsi="Arial" w:cs="Arial"/>
          <w:sz w:val="24"/>
          <w:szCs w:val="24"/>
        </w:rPr>
        <w:t>Mef</w:t>
      </w:r>
      <w:proofErr w:type="spellEnd"/>
      <w:r w:rsidRPr="004B5E46">
        <w:rPr>
          <w:rStyle w:val="s9"/>
          <w:rFonts w:ascii="Arial" w:hAnsi="Arial" w:cs="Arial"/>
          <w:sz w:val="24"/>
          <w:szCs w:val="24"/>
        </w:rPr>
        <w:t> ex art. 11, co. 6 del d.lgs. 175/2016 avrebbero sui compensi degli organi di controllo delle società a controllo pubblico non quotate.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Fonts w:ascii="Arial" w:hAnsi="Arial" w:cs="Arial"/>
          <w:sz w:val="24"/>
          <w:szCs w:val="24"/>
        </w:rPr>
        <w:t>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s9"/>
          <w:rFonts w:ascii="Arial" w:hAnsi="Arial" w:cs="Arial"/>
          <w:sz w:val="24"/>
          <w:szCs w:val="24"/>
        </w:rPr>
        <w:t>L’analisi dei Commercialisti evidenzia che, su un panel di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200 società</w:t>
      </w:r>
      <w:r w:rsidRPr="004B5E46">
        <w:rPr>
          <w:rStyle w:val="s9"/>
          <w:rFonts w:ascii="Arial" w:hAnsi="Arial" w:cs="Arial"/>
          <w:sz w:val="24"/>
          <w:szCs w:val="24"/>
        </w:rPr>
        <w:t> rappresentative delle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cinque fasce dimensionali</w:t>
      </w:r>
      <w:r w:rsidRPr="004B5E46">
        <w:rPr>
          <w:rStyle w:val="s9"/>
          <w:rFonts w:ascii="Arial" w:hAnsi="Arial" w:cs="Arial"/>
          <w:sz w:val="24"/>
          <w:szCs w:val="24"/>
        </w:rPr>
        <w:t> previste dall’art. 2 della bozza di Regolamento, circa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il 60%</w:t>
      </w:r>
      <w:r w:rsidRPr="004B5E46">
        <w:rPr>
          <w:rStyle w:val="s9"/>
          <w:rFonts w:ascii="Arial" w:hAnsi="Arial" w:cs="Arial"/>
          <w:sz w:val="24"/>
          <w:szCs w:val="24"/>
        </w:rPr>
        <w:t> registrerebbe una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riduzione dei compensi</w:t>
      </w:r>
      <w:r w:rsidRPr="004B5E46">
        <w:rPr>
          <w:rStyle w:val="s9"/>
          <w:rFonts w:ascii="Arial" w:hAnsi="Arial" w:cs="Arial"/>
          <w:sz w:val="24"/>
          <w:szCs w:val="24"/>
        </w:rPr>
        <w:t> rispetto alla misura oggi deliberata. La tendenza è più netta nelle prime tre fasce e, in particolare,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nella prima</w:t>
      </w:r>
      <w:r w:rsidRPr="004B5E46">
        <w:rPr>
          <w:rStyle w:val="s9"/>
          <w:rFonts w:ascii="Arial" w:hAnsi="Arial" w:cs="Arial"/>
          <w:sz w:val="24"/>
          <w:szCs w:val="24"/>
        </w:rPr>
        <w:t> in cui sono comprese le realtà aziendali di maggiori dimensioni e dove l’effetto peggiorativo arriva ad interessare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l’80%</w:t>
      </w:r>
      <w:r w:rsidRPr="004B5E46">
        <w:rPr>
          <w:rStyle w:val="s9"/>
          <w:rFonts w:ascii="Arial" w:hAnsi="Arial" w:cs="Arial"/>
          <w:sz w:val="24"/>
          <w:szCs w:val="24"/>
        </w:rPr>
        <w:t> delle società. 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Fonts w:ascii="Arial" w:hAnsi="Arial" w:cs="Arial"/>
          <w:sz w:val="24"/>
          <w:szCs w:val="24"/>
        </w:rPr>
        <w:t>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s9"/>
          <w:rFonts w:ascii="Arial" w:hAnsi="Arial" w:cs="Arial"/>
          <w:sz w:val="24"/>
          <w:szCs w:val="24"/>
        </w:rPr>
        <w:t>“’L’imposizione di un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appiattimento del compenso</w:t>
      </w:r>
      <w:r w:rsidRPr="004B5E46">
        <w:rPr>
          <w:rStyle w:val="s9"/>
          <w:rFonts w:ascii="Arial" w:hAnsi="Arial" w:cs="Arial"/>
          <w:sz w:val="24"/>
          <w:szCs w:val="24"/>
        </w:rPr>
        <w:t> dei componenti dell’organo di controllo – afferma Massimo Miani, presidente del Consiglio nazionale dei commercialisti – già di per sé irrazionale, ha ancor meno senso considerato che esso si ripercuote in modo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più accentuato</w:t>
      </w:r>
      <w:r w:rsidR="008D629E">
        <w:rPr>
          <w:rStyle w:val="s10"/>
          <w:rFonts w:ascii="Arial" w:hAnsi="Arial" w:cs="Arial"/>
          <w:b/>
          <w:bCs/>
          <w:sz w:val="24"/>
          <w:szCs w:val="24"/>
        </w:rPr>
        <w:t xml:space="preserve"> </w:t>
      </w:r>
      <w:r w:rsidRPr="004B5E46">
        <w:rPr>
          <w:rStyle w:val="s9"/>
          <w:rFonts w:ascii="Arial" w:hAnsi="Arial" w:cs="Arial"/>
          <w:sz w:val="24"/>
          <w:szCs w:val="24"/>
        </w:rPr>
        <w:t>proprio</w:t>
      </w:r>
      <w:r w:rsidR="008D629E">
        <w:rPr>
          <w:rStyle w:val="s9"/>
          <w:rFonts w:ascii="Arial" w:hAnsi="Arial" w:cs="Arial"/>
          <w:sz w:val="24"/>
          <w:szCs w:val="24"/>
        </w:rPr>
        <w:t xml:space="preserve"> </w:t>
      </w:r>
      <w:r w:rsidRPr="004B5E46">
        <w:rPr>
          <w:rStyle w:val="s9"/>
          <w:rFonts w:ascii="Arial" w:hAnsi="Arial" w:cs="Arial"/>
          <w:sz w:val="24"/>
          <w:szCs w:val="24"/>
        </w:rPr>
        <w:t>in </w:t>
      </w:r>
      <w:r w:rsidRPr="008D629E">
        <w:rPr>
          <w:rStyle w:val="s10"/>
          <w:rFonts w:ascii="Arial" w:hAnsi="Arial" w:cs="Arial"/>
          <w:bCs/>
          <w:sz w:val="24"/>
          <w:szCs w:val="24"/>
        </w:rPr>
        <w:t>quelle realtà</w:t>
      </w:r>
      <w:r w:rsidRPr="008D629E">
        <w:rPr>
          <w:rStyle w:val="s9"/>
          <w:rFonts w:ascii="Arial" w:hAnsi="Arial" w:cs="Arial"/>
          <w:sz w:val="24"/>
          <w:szCs w:val="24"/>
        </w:rPr>
        <w:t> </w:t>
      </w:r>
      <w:r w:rsidRPr="004B5E46">
        <w:rPr>
          <w:rStyle w:val="s9"/>
          <w:rFonts w:ascii="Arial" w:hAnsi="Arial" w:cs="Arial"/>
          <w:sz w:val="24"/>
          <w:szCs w:val="24"/>
        </w:rPr>
        <w:t>che, per ampiezza dimensionale e complessità strutturale,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comportano responsabilità notevolmente maggiori</w:t>
      </w:r>
      <w:r w:rsidRPr="004B5E46">
        <w:rPr>
          <w:rStyle w:val="s9"/>
          <w:rFonts w:ascii="Arial" w:hAnsi="Arial" w:cs="Arial"/>
          <w:sz w:val="24"/>
          <w:szCs w:val="24"/>
        </w:rPr>
        <w:t>. Non resta che auspicare un ripensamento in corso d’opera da parte del legislatore, che si traduca nella valorizzazione dell’organo di controllo e non in una misura che, se confermata, avrebbe un sapore irragionevolmente punitivo”.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Fonts w:ascii="Arial" w:hAnsi="Arial" w:cs="Arial"/>
          <w:sz w:val="24"/>
          <w:szCs w:val="24"/>
        </w:rPr>
        <w:t>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Style w:val="s9"/>
          <w:rFonts w:ascii="Arial" w:hAnsi="Arial" w:cs="Arial"/>
          <w:sz w:val="24"/>
          <w:szCs w:val="24"/>
        </w:rPr>
        <w:t>“Si tratta di una riduzione tutt’altro che irrilevante – spiega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Davide Di Russo</w:t>
      </w:r>
      <w:r w:rsidRPr="004B5E46">
        <w:rPr>
          <w:rStyle w:val="s9"/>
          <w:rFonts w:ascii="Arial" w:hAnsi="Arial" w:cs="Arial"/>
          <w:sz w:val="24"/>
          <w:szCs w:val="24"/>
        </w:rPr>
        <w:t>, vicepresidente del CNDCEC – tenuto conto che in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tre delle più importanti società</w:t>
      </w:r>
      <w:r w:rsidRPr="004B5E46">
        <w:rPr>
          <w:rStyle w:val="s9"/>
          <w:rFonts w:ascii="Arial" w:hAnsi="Arial" w:cs="Arial"/>
          <w:sz w:val="24"/>
          <w:szCs w:val="24"/>
        </w:rPr>
        <w:t> della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prima fascia</w:t>
      </w:r>
      <w:r w:rsidRPr="004B5E46">
        <w:rPr>
          <w:rStyle w:val="s9"/>
          <w:rFonts w:ascii="Arial" w:hAnsi="Arial" w:cs="Arial"/>
          <w:sz w:val="24"/>
          <w:szCs w:val="24"/>
        </w:rPr>
        <w:t> (una del nord, una del centro e una del sud)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l’organo di controllo</w:t>
      </w:r>
      <w:r w:rsidRPr="004B5E46">
        <w:rPr>
          <w:rStyle w:val="s9"/>
          <w:rFonts w:ascii="Arial" w:hAnsi="Arial" w:cs="Arial"/>
          <w:sz w:val="24"/>
          <w:szCs w:val="24"/>
        </w:rPr>
        <w:t> si vedrebbe pressoché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dimezzato il compenso attuale</w:t>
      </w:r>
      <w:r w:rsidRPr="004B5E46">
        <w:rPr>
          <w:rStyle w:val="s9"/>
          <w:rFonts w:ascii="Arial" w:hAnsi="Arial" w:cs="Arial"/>
          <w:sz w:val="24"/>
          <w:szCs w:val="24"/>
        </w:rPr>
        <w:t>. La riduzione è più attenuata in quinta fascia, ma solo apparentemente, perché la contrazione è mascherata dal fatto che nelle società di minori dimensioni è più diffuso l’organo di controllo monocratico”. </w:t>
      </w:r>
    </w:p>
    <w:p w:rsidR="004B5E46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4B5E46">
        <w:rPr>
          <w:rFonts w:ascii="Arial" w:hAnsi="Arial" w:cs="Arial"/>
          <w:sz w:val="24"/>
          <w:szCs w:val="24"/>
        </w:rPr>
        <w:t> </w:t>
      </w:r>
    </w:p>
    <w:p w:rsidR="0039466E" w:rsidRPr="004B5E46" w:rsidRDefault="004B5E46" w:rsidP="004B5E46">
      <w:pPr>
        <w:pStyle w:val="s4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4B5E46">
        <w:rPr>
          <w:rStyle w:val="s9"/>
          <w:rFonts w:ascii="Arial" w:hAnsi="Arial" w:cs="Arial"/>
          <w:sz w:val="24"/>
          <w:szCs w:val="24"/>
        </w:rPr>
        <w:t>“Riteniamo – concludono Miani e Di Russo – che il legislatore, per la condivisibile preoccupazione di contenere i costi, non abbia adeguatamente considerato le </w:t>
      </w:r>
      <w:r w:rsidRPr="004B5E46">
        <w:rPr>
          <w:rStyle w:val="s10"/>
          <w:rFonts w:ascii="Arial" w:hAnsi="Arial" w:cs="Arial"/>
          <w:b/>
          <w:bCs/>
          <w:sz w:val="24"/>
          <w:szCs w:val="24"/>
        </w:rPr>
        <w:t>ricadute negative di tale misura</w:t>
      </w:r>
      <w:r w:rsidRPr="004B5E46">
        <w:rPr>
          <w:rStyle w:val="s9"/>
          <w:rFonts w:ascii="Arial" w:hAnsi="Arial" w:cs="Arial"/>
          <w:sz w:val="24"/>
          <w:szCs w:val="24"/>
        </w:rPr>
        <w:t>. Non può, infatti, che esserci un malinteso perché l’organo di controllo non rappresenta un costo da ridurre, ma costituisce, come è stato sottolineato anche dal</w:t>
      </w:r>
      <w:r w:rsidR="008D629E">
        <w:rPr>
          <w:rStyle w:val="s9"/>
          <w:rFonts w:ascii="Arial" w:hAnsi="Arial" w:cs="Arial"/>
          <w:sz w:val="24"/>
          <w:szCs w:val="24"/>
        </w:rPr>
        <w:t xml:space="preserve"> premio Nobel Joseph </w:t>
      </w:r>
      <w:proofErr w:type="spellStart"/>
      <w:r w:rsidR="008D629E">
        <w:rPr>
          <w:rStyle w:val="s9"/>
          <w:rFonts w:ascii="Arial" w:hAnsi="Arial" w:cs="Arial"/>
          <w:sz w:val="24"/>
          <w:szCs w:val="24"/>
        </w:rPr>
        <w:t>Stiglitz</w:t>
      </w:r>
      <w:proofErr w:type="spellEnd"/>
      <w:r w:rsidR="008D629E">
        <w:rPr>
          <w:rStyle w:val="s9"/>
          <w:rFonts w:ascii="Arial" w:hAnsi="Arial" w:cs="Arial"/>
          <w:sz w:val="24"/>
          <w:szCs w:val="24"/>
        </w:rPr>
        <w:t>,</w:t>
      </w:r>
      <w:bookmarkStart w:id="1" w:name="_GoBack"/>
      <w:bookmarkEnd w:id="1"/>
      <w:r w:rsidRPr="004B5E46">
        <w:rPr>
          <w:rStyle w:val="s9"/>
          <w:rFonts w:ascii="Arial" w:hAnsi="Arial" w:cs="Arial"/>
          <w:sz w:val="24"/>
          <w:szCs w:val="24"/>
        </w:rPr>
        <w:t xml:space="preserve"> un presidio di legalità a tutela di soci e terzi che merita di essere quanto più possibile potenziato”.</w:t>
      </w:r>
    </w:p>
    <w:sectPr w:rsidR="0039466E" w:rsidRPr="004B5E4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865" w:rsidRDefault="00353865" w:rsidP="0078332C">
      <w:r>
        <w:separator/>
      </w:r>
    </w:p>
  </w:endnote>
  <w:endnote w:type="continuationSeparator" w:id="0">
    <w:p w:rsidR="00353865" w:rsidRDefault="00353865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865" w:rsidRDefault="00353865" w:rsidP="0078332C">
      <w:r>
        <w:separator/>
      </w:r>
    </w:p>
  </w:footnote>
  <w:footnote w:type="continuationSeparator" w:id="0">
    <w:p w:rsidR="00353865" w:rsidRDefault="00353865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63D05"/>
    <w:rsid w:val="0007464D"/>
    <w:rsid w:val="000806B0"/>
    <w:rsid w:val="000828B5"/>
    <w:rsid w:val="00082FFB"/>
    <w:rsid w:val="00090CE4"/>
    <w:rsid w:val="0009108B"/>
    <w:rsid w:val="000A3DDA"/>
    <w:rsid w:val="000B1725"/>
    <w:rsid w:val="000B3EFF"/>
    <w:rsid w:val="000B71E8"/>
    <w:rsid w:val="000C0552"/>
    <w:rsid w:val="000C19B1"/>
    <w:rsid w:val="000C2E67"/>
    <w:rsid w:val="000D01B1"/>
    <w:rsid w:val="000D7385"/>
    <w:rsid w:val="00103B90"/>
    <w:rsid w:val="00105755"/>
    <w:rsid w:val="00121C2D"/>
    <w:rsid w:val="00123B69"/>
    <w:rsid w:val="00142E95"/>
    <w:rsid w:val="001605AF"/>
    <w:rsid w:val="00173E3A"/>
    <w:rsid w:val="00174310"/>
    <w:rsid w:val="00184600"/>
    <w:rsid w:val="00186787"/>
    <w:rsid w:val="00191BB6"/>
    <w:rsid w:val="00194C03"/>
    <w:rsid w:val="001A0166"/>
    <w:rsid w:val="001A55B3"/>
    <w:rsid w:val="001C67E1"/>
    <w:rsid w:val="001C6BDD"/>
    <w:rsid w:val="001C7913"/>
    <w:rsid w:val="001C7E5F"/>
    <w:rsid w:val="001D456F"/>
    <w:rsid w:val="001E5239"/>
    <w:rsid w:val="001E7260"/>
    <w:rsid w:val="001E76F9"/>
    <w:rsid w:val="00202900"/>
    <w:rsid w:val="002062BE"/>
    <w:rsid w:val="0021644F"/>
    <w:rsid w:val="002204CC"/>
    <w:rsid w:val="00221234"/>
    <w:rsid w:val="0022378E"/>
    <w:rsid w:val="0022580D"/>
    <w:rsid w:val="0024011F"/>
    <w:rsid w:val="002438B0"/>
    <w:rsid w:val="00243BD7"/>
    <w:rsid w:val="0025124D"/>
    <w:rsid w:val="00270515"/>
    <w:rsid w:val="00272605"/>
    <w:rsid w:val="00281202"/>
    <w:rsid w:val="00281338"/>
    <w:rsid w:val="0028246D"/>
    <w:rsid w:val="00286C68"/>
    <w:rsid w:val="002878AC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56FA"/>
    <w:rsid w:val="002E7943"/>
    <w:rsid w:val="002F4704"/>
    <w:rsid w:val="002F6036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41EEF"/>
    <w:rsid w:val="00353865"/>
    <w:rsid w:val="00353EE3"/>
    <w:rsid w:val="0036445C"/>
    <w:rsid w:val="00365C91"/>
    <w:rsid w:val="00366188"/>
    <w:rsid w:val="003808D1"/>
    <w:rsid w:val="00392245"/>
    <w:rsid w:val="0039466E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753F"/>
    <w:rsid w:val="00400CE9"/>
    <w:rsid w:val="00443042"/>
    <w:rsid w:val="004563E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B4345"/>
    <w:rsid w:val="004B5E46"/>
    <w:rsid w:val="004D734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42311"/>
    <w:rsid w:val="00543860"/>
    <w:rsid w:val="00544970"/>
    <w:rsid w:val="00555885"/>
    <w:rsid w:val="005625A8"/>
    <w:rsid w:val="005636DE"/>
    <w:rsid w:val="00564A2D"/>
    <w:rsid w:val="00564FBE"/>
    <w:rsid w:val="00566A4A"/>
    <w:rsid w:val="005673AC"/>
    <w:rsid w:val="005779CB"/>
    <w:rsid w:val="0058002D"/>
    <w:rsid w:val="00580C25"/>
    <w:rsid w:val="005816F1"/>
    <w:rsid w:val="00582D74"/>
    <w:rsid w:val="00583CB0"/>
    <w:rsid w:val="00585518"/>
    <w:rsid w:val="00590A1B"/>
    <w:rsid w:val="00590F83"/>
    <w:rsid w:val="005959E4"/>
    <w:rsid w:val="005A1EDA"/>
    <w:rsid w:val="005A3A3F"/>
    <w:rsid w:val="005C6957"/>
    <w:rsid w:val="005D1AAA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E6A7E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E44E2"/>
    <w:rsid w:val="007F63BB"/>
    <w:rsid w:val="0080283B"/>
    <w:rsid w:val="0080797B"/>
    <w:rsid w:val="0081381B"/>
    <w:rsid w:val="00813FF6"/>
    <w:rsid w:val="00831294"/>
    <w:rsid w:val="00832BE3"/>
    <w:rsid w:val="00842D82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08B"/>
    <w:rsid w:val="008C5ED3"/>
    <w:rsid w:val="008C6308"/>
    <w:rsid w:val="008D0A25"/>
    <w:rsid w:val="008D5B41"/>
    <w:rsid w:val="008D5C4B"/>
    <w:rsid w:val="008D629E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6217F"/>
    <w:rsid w:val="00971B4A"/>
    <w:rsid w:val="0097646E"/>
    <w:rsid w:val="009813D9"/>
    <w:rsid w:val="00986756"/>
    <w:rsid w:val="00993E86"/>
    <w:rsid w:val="009965B6"/>
    <w:rsid w:val="009A1934"/>
    <w:rsid w:val="009A33C1"/>
    <w:rsid w:val="009C468C"/>
    <w:rsid w:val="009C650C"/>
    <w:rsid w:val="009D0B50"/>
    <w:rsid w:val="009D1F36"/>
    <w:rsid w:val="009D5B30"/>
    <w:rsid w:val="009D6B2B"/>
    <w:rsid w:val="009F0C91"/>
    <w:rsid w:val="009F4399"/>
    <w:rsid w:val="00A057F7"/>
    <w:rsid w:val="00A07FB9"/>
    <w:rsid w:val="00A12594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85A3C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4510"/>
    <w:rsid w:val="00B8311E"/>
    <w:rsid w:val="00B84EF5"/>
    <w:rsid w:val="00B90683"/>
    <w:rsid w:val="00B9125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51F27"/>
    <w:rsid w:val="00C735AB"/>
    <w:rsid w:val="00C81BB1"/>
    <w:rsid w:val="00C92F98"/>
    <w:rsid w:val="00C93548"/>
    <w:rsid w:val="00CA369D"/>
    <w:rsid w:val="00CA4152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5453F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78C6"/>
    <w:rsid w:val="00DF6F8B"/>
    <w:rsid w:val="00E0235E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189D"/>
    <w:rsid w:val="00E553F2"/>
    <w:rsid w:val="00E6797B"/>
    <w:rsid w:val="00E67E9C"/>
    <w:rsid w:val="00E701F3"/>
    <w:rsid w:val="00E81803"/>
    <w:rsid w:val="00E855E0"/>
    <w:rsid w:val="00E9545A"/>
    <w:rsid w:val="00EA25EF"/>
    <w:rsid w:val="00EA5CE8"/>
    <w:rsid w:val="00EB7E70"/>
    <w:rsid w:val="00ED0690"/>
    <w:rsid w:val="00ED08A8"/>
    <w:rsid w:val="00ED2970"/>
    <w:rsid w:val="00ED2BA2"/>
    <w:rsid w:val="00ED58D8"/>
    <w:rsid w:val="00EE3C69"/>
    <w:rsid w:val="00EE51A4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53A8A"/>
    <w:rsid w:val="00F547BE"/>
    <w:rsid w:val="00F61CBC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165B94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customStyle="1" w:styleId="Default">
    <w:name w:val="Default"/>
    <w:rsid w:val="00D545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ody1">
    <w:name w:val="Body 1"/>
    <w:uiPriority w:val="99"/>
    <w:rsid w:val="00566A4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paragraph" w:customStyle="1" w:styleId="s6">
    <w:name w:val="s6"/>
    <w:basedOn w:val="Normale"/>
    <w:rsid w:val="004B5E46"/>
    <w:pPr>
      <w:spacing w:before="100" w:beforeAutospacing="1" w:after="100" w:afterAutospacing="1"/>
    </w:pPr>
    <w:rPr>
      <w:rFonts w:ascii="Calibri" w:hAnsi="Calibri" w:cs="Calibri"/>
      <w:lang w:eastAsia="it-IT"/>
    </w:rPr>
  </w:style>
  <w:style w:type="paragraph" w:customStyle="1" w:styleId="s4">
    <w:name w:val="s4"/>
    <w:basedOn w:val="Normale"/>
    <w:rsid w:val="004B5E46"/>
    <w:pPr>
      <w:spacing w:before="100" w:beforeAutospacing="1" w:after="100" w:afterAutospacing="1"/>
    </w:pPr>
    <w:rPr>
      <w:rFonts w:ascii="Calibri" w:hAnsi="Calibri" w:cs="Calibri"/>
      <w:lang w:eastAsia="it-IT"/>
    </w:rPr>
  </w:style>
  <w:style w:type="character" w:customStyle="1" w:styleId="bumpedfont15">
    <w:name w:val="bumpedfont15"/>
    <w:basedOn w:val="Carpredefinitoparagrafo"/>
    <w:rsid w:val="004B5E46"/>
  </w:style>
  <w:style w:type="character" w:customStyle="1" w:styleId="s8">
    <w:name w:val="s8"/>
    <w:basedOn w:val="Carpredefinitoparagrafo"/>
    <w:rsid w:val="004B5E46"/>
  </w:style>
  <w:style w:type="character" w:customStyle="1" w:styleId="s9">
    <w:name w:val="s9"/>
    <w:basedOn w:val="Carpredefinitoparagrafo"/>
    <w:rsid w:val="004B5E46"/>
  </w:style>
  <w:style w:type="character" w:customStyle="1" w:styleId="s10">
    <w:name w:val="s10"/>
    <w:basedOn w:val="Carpredefinitoparagrafo"/>
    <w:rsid w:val="004B5E46"/>
  </w:style>
  <w:style w:type="character" w:customStyle="1" w:styleId="s11">
    <w:name w:val="s11"/>
    <w:basedOn w:val="Carpredefinitoparagrafo"/>
    <w:rsid w:val="004B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64BE-A497-4F1F-95A2-D3A58248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2019-01-30T10:48:00Z</cp:lastPrinted>
  <dcterms:created xsi:type="dcterms:W3CDTF">2019-07-15T12:58:00Z</dcterms:created>
  <dcterms:modified xsi:type="dcterms:W3CDTF">2019-07-15T12:58:00Z</dcterms:modified>
</cp:coreProperties>
</file>