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Pr="008643F7" w:rsidRDefault="0053767A" w:rsidP="008643F7">
      <w:pPr>
        <w:jc w:val="center"/>
        <w:rPr>
          <w:rFonts w:ascii="Arial" w:eastAsia="Tahoma" w:hAnsi="Arial" w:cs="Arial"/>
          <w:sz w:val="22"/>
          <w:szCs w:val="22"/>
        </w:rPr>
      </w:pPr>
    </w:p>
    <w:p w14:paraId="584657E1" w14:textId="77777777" w:rsidR="0053767A" w:rsidRPr="008643F7" w:rsidRDefault="0053767A" w:rsidP="008643F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645AADF9" w14:textId="35D8C690" w:rsidR="0081776A" w:rsidRPr="008643F7" w:rsidRDefault="0081776A" w:rsidP="008643F7">
      <w:pPr>
        <w:jc w:val="center"/>
        <w:rPr>
          <w:rFonts w:ascii="Arial" w:eastAsia="Tahoma" w:hAnsi="Arial" w:cs="Arial"/>
          <w:b/>
          <w:bCs/>
          <w:sz w:val="22"/>
          <w:szCs w:val="22"/>
          <w:u w:val="single"/>
        </w:rPr>
      </w:pPr>
      <w:r w:rsidRPr="008643F7">
        <w:rPr>
          <w:rFonts w:ascii="Arial" w:eastAsia="Tahoma" w:hAnsi="Arial" w:cs="Arial"/>
          <w:b/>
          <w:bCs/>
          <w:sz w:val="22"/>
          <w:szCs w:val="22"/>
          <w:u w:val="single"/>
        </w:rPr>
        <w:t>Comunicato stampa</w:t>
      </w:r>
    </w:p>
    <w:p w14:paraId="3F304401" w14:textId="77777777" w:rsidR="0081776A" w:rsidRPr="008643F7" w:rsidRDefault="0081776A" w:rsidP="008643F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C87D809" w14:textId="61C4C9CB" w:rsidR="00EE6512" w:rsidRPr="008643F7" w:rsidRDefault="00EE6512" w:rsidP="008643F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8643F7">
        <w:rPr>
          <w:rFonts w:ascii="Arial" w:eastAsia="Tahoma" w:hAnsi="Arial" w:cs="Arial"/>
          <w:b/>
          <w:bCs/>
          <w:sz w:val="22"/>
          <w:szCs w:val="22"/>
        </w:rPr>
        <w:t xml:space="preserve">DAL CONSIGLIO NAZIONALE UN DOCUMENTO </w:t>
      </w:r>
      <w:r w:rsidR="00324EF0" w:rsidRPr="008643F7">
        <w:rPr>
          <w:rFonts w:ascii="Arial" w:eastAsia="Tahoma" w:hAnsi="Arial" w:cs="Arial"/>
          <w:b/>
          <w:bCs/>
          <w:sz w:val="22"/>
          <w:szCs w:val="22"/>
        </w:rPr>
        <w:t xml:space="preserve">TECNICO </w:t>
      </w:r>
      <w:r w:rsidRPr="008643F7">
        <w:rPr>
          <w:rFonts w:ascii="Arial" w:eastAsia="Tahoma" w:hAnsi="Arial" w:cs="Arial"/>
          <w:b/>
          <w:bCs/>
          <w:sz w:val="22"/>
          <w:szCs w:val="22"/>
        </w:rPr>
        <w:t>SU EBITDA E PFN A FINI VALUTATIVI E NEGOZIALI</w:t>
      </w:r>
    </w:p>
    <w:p w14:paraId="01FCBE10" w14:textId="77777777" w:rsidR="00EE6512" w:rsidRPr="008643F7" w:rsidRDefault="00EE6512" w:rsidP="008643F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1806BFCB" w14:textId="16E05EA5" w:rsidR="00EE6512" w:rsidRPr="008643F7" w:rsidRDefault="00EE6512" w:rsidP="008643F7">
      <w:pPr>
        <w:jc w:val="center"/>
        <w:rPr>
          <w:rFonts w:ascii="Arial" w:eastAsia="Tahoma" w:hAnsi="Arial" w:cs="Arial"/>
          <w:b/>
          <w:bCs/>
          <w:i/>
          <w:iCs/>
          <w:sz w:val="22"/>
          <w:szCs w:val="22"/>
        </w:rPr>
      </w:pPr>
      <w:r w:rsidRPr="008643F7">
        <w:rPr>
          <w:rFonts w:ascii="Arial" w:eastAsia="Tahoma" w:hAnsi="Arial" w:cs="Arial"/>
          <w:b/>
          <w:bCs/>
          <w:sz w:val="22"/>
          <w:szCs w:val="22"/>
        </w:rPr>
        <w:t xml:space="preserve">Focus sulle due grandezze contabili cui si ricorre frequentemente per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individuare misuratori di performance agili e condivisibili</w:t>
      </w:r>
      <w:r w:rsidR="00B63700" w:rsidRPr="008643F7">
        <w:rPr>
          <w:rFonts w:ascii="Arial" w:hAnsi="Arial" w:cs="Arial"/>
          <w:b/>
          <w:bCs/>
          <w:color w:val="000000"/>
          <w:sz w:val="22"/>
          <w:szCs w:val="22"/>
        </w:rPr>
        <w:t>. De Nuccio: “Uno strumento utile da utilizzare nel quotidiano”</w:t>
      </w:r>
    </w:p>
    <w:p w14:paraId="26396855" w14:textId="77777777" w:rsidR="00EE6512" w:rsidRPr="008643F7" w:rsidRDefault="00EE6512" w:rsidP="008643F7">
      <w:pPr>
        <w:jc w:val="both"/>
        <w:rPr>
          <w:rFonts w:ascii="Arial" w:eastAsia="Tahoma" w:hAnsi="Arial" w:cs="Arial"/>
          <w:i/>
          <w:iCs/>
          <w:sz w:val="22"/>
          <w:szCs w:val="22"/>
        </w:rPr>
      </w:pPr>
    </w:p>
    <w:p w14:paraId="71D8ECE6" w14:textId="65FB489A" w:rsidR="00A0105F" w:rsidRPr="008643F7" w:rsidRDefault="00524766" w:rsidP="008643F7">
      <w:pPr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i/>
          <w:iCs/>
          <w:sz w:val="22"/>
          <w:szCs w:val="22"/>
        </w:rPr>
        <w:t xml:space="preserve">Roma, 15 </w:t>
      </w:r>
      <w:r w:rsidR="00A0105F" w:rsidRPr="008643F7">
        <w:rPr>
          <w:rFonts w:ascii="Arial" w:eastAsia="Tahoma" w:hAnsi="Arial" w:cs="Arial"/>
          <w:i/>
          <w:iCs/>
          <w:sz w:val="22"/>
          <w:szCs w:val="22"/>
        </w:rPr>
        <w:t xml:space="preserve">marzo 2024 </w:t>
      </w:r>
      <w:r w:rsidRPr="00524766">
        <w:rPr>
          <w:rFonts w:ascii="Arial" w:eastAsia="Tahoma" w:hAnsi="Arial" w:cs="Arial"/>
          <w:sz w:val="22"/>
          <w:szCs w:val="22"/>
        </w:rPr>
        <w:t>–</w:t>
      </w:r>
      <w:r w:rsidR="00A0105F" w:rsidRPr="00524766">
        <w:rPr>
          <w:rFonts w:ascii="Arial" w:eastAsia="Tahoma" w:hAnsi="Arial" w:cs="Arial"/>
          <w:sz w:val="22"/>
          <w:szCs w:val="22"/>
        </w:rPr>
        <w:t xml:space="preserve"> “</w:t>
      </w:r>
      <w:r w:rsidR="00A0105F" w:rsidRPr="00524766">
        <w:rPr>
          <w:rFonts w:ascii="Arial" w:eastAsia="Tahoma" w:hAnsi="Arial" w:cs="Arial"/>
          <w:b/>
          <w:bCs/>
          <w:sz w:val="22"/>
          <w:szCs w:val="22"/>
        </w:rPr>
        <w:t>Ebitda e Pfn a fini valutativi e negoziali</w:t>
      </w:r>
      <w:r w:rsidR="00A0105F" w:rsidRPr="00524766">
        <w:rPr>
          <w:rFonts w:ascii="Arial" w:eastAsia="Tahoma" w:hAnsi="Arial" w:cs="Arial"/>
          <w:sz w:val="22"/>
          <w:szCs w:val="22"/>
        </w:rPr>
        <w:t xml:space="preserve">” è il titolo del documento </w:t>
      </w:r>
      <w:r w:rsidR="00324EF0" w:rsidRPr="00524766">
        <w:rPr>
          <w:rFonts w:ascii="Arial" w:eastAsia="Tahoma" w:hAnsi="Arial" w:cs="Arial"/>
          <w:sz w:val="22"/>
          <w:szCs w:val="22"/>
        </w:rPr>
        <w:t xml:space="preserve">tecnico </w:t>
      </w:r>
      <w:r w:rsidR="00A0105F" w:rsidRPr="008643F7">
        <w:rPr>
          <w:rFonts w:ascii="Arial" w:eastAsia="Tahoma" w:hAnsi="Arial" w:cs="Arial"/>
          <w:sz w:val="22"/>
          <w:szCs w:val="22"/>
        </w:rPr>
        <w:t>elaborato dalla Commissione di studio “</w:t>
      </w:r>
      <w:r w:rsidR="00A0105F" w:rsidRPr="008643F7">
        <w:rPr>
          <w:rFonts w:ascii="Arial" w:eastAsia="Tahoma" w:hAnsi="Arial" w:cs="Arial"/>
          <w:b/>
          <w:bCs/>
          <w:sz w:val="22"/>
          <w:szCs w:val="22"/>
        </w:rPr>
        <w:t>Valutazioni per il bilancio</w:t>
      </w:r>
      <w:r w:rsidR="00A0105F" w:rsidRPr="008643F7">
        <w:rPr>
          <w:rFonts w:ascii="Arial" w:eastAsia="Tahoma" w:hAnsi="Arial" w:cs="Arial"/>
          <w:sz w:val="22"/>
          <w:szCs w:val="22"/>
        </w:rPr>
        <w:t>” del Consiglio nazionale dei commercialisti, operante nell’ambito dell’area di delega “</w:t>
      </w:r>
      <w:r w:rsidR="00A0105F" w:rsidRPr="008643F7">
        <w:rPr>
          <w:rFonts w:ascii="Arial" w:eastAsia="Tahoma" w:hAnsi="Arial" w:cs="Arial"/>
          <w:b/>
          <w:bCs/>
          <w:sz w:val="22"/>
          <w:szCs w:val="22"/>
        </w:rPr>
        <w:t>Principi contabili e valutazioni</w:t>
      </w:r>
      <w:r w:rsidR="00A0105F" w:rsidRPr="008643F7">
        <w:rPr>
          <w:rFonts w:ascii="Arial" w:eastAsia="Tahoma" w:hAnsi="Arial" w:cs="Arial"/>
          <w:sz w:val="22"/>
          <w:szCs w:val="22"/>
        </w:rPr>
        <w:t xml:space="preserve">” </w:t>
      </w:r>
      <w:r>
        <w:rPr>
          <w:rFonts w:ascii="Arial" w:eastAsia="Tahoma" w:hAnsi="Arial" w:cs="Arial"/>
          <w:sz w:val="22"/>
          <w:szCs w:val="22"/>
        </w:rPr>
        <w:t xml:space="preserve">e </w:t>
      </w:r>
      <w:r w:rsidR="00324EF0" w:rsidRPr="008643F7">
        <w:rPr>
          <w:rFonts w:ascii="Arial" w:eastAsia="Tahoma" w:hAnsi="Arial" w:cs="Arial"/>
          <w:sz w:val="22"/>
          <w:szCs w:val="22"/>
        </w:rPr>
        <w:t>coordinata</w:t>
      </w:r>
      <w:r w:rsidR="00A0105F" w:rsidRPr="008643F7">
        <w:rPr>
          <w:rFonts w:ascii="Arial" w:eastAsia="Tahoma" w:hAnsi="Arial" w:cs="Arial"/>
          <w:sz w:val="22"/>
          <w:szCs w:val="22"/>
        </w:rPr>
        <w:t xml:space="preserve"> dal Presidente nazionale </w:t>
      </w:r>
      <w:r w:rsidR="00A0105F" w:rsidRPr="008643F7">
        <w:rPr>
          <w:rFonts w:ascii="Arial" w:eastAsia="Tahoma" w:hAnsi="Arial" w:cs="Arial"/>
          <w:b/>
          <w:bCs/>
          <w:sz w:val="22"/>
          <w:szCs w:val="22"/>
        </w:rPr>
        <w:t>Elbano de Nuccio</w:t>
      </w:r>
      <w:r w:rsidR="00A0105F" w:rsidRPr="008643F7">
        <w:rPr>
          <w:rFonts w:ascii="Arial" w:eastAsia="Tahoma" w:hAnsi="Arial" w:cs="Arial"/>
          <w:sz w:val="22"/>
          <w:szCs w:val="22"/>
        </w:rPr>
        <w:t>.</w:t>
      </w:r>
    </w:p>
    <w:p w14:paraId="19A788DB" w14:textId="77777777" w:rsidR="00A0105F" w:rsidRPr="008643F7" w:rsidRDefault="00A0105F" w:rsidP="008643F7">
      <w:pPr>
        <w:jc w:val="both"/>
        <w:rPr>
          <w:rFonts w:ascii="Arial" w:eastAsia="Tahoma" w:hAnsi="Arial" w:cs="Arial"/>
          <w:sz w:val="22"/>
          <w:szCs w:val="22"/>
        </w:rPr>
      </w:pPr>
    </w:p>
    <w:p w14:paraId="4C8C6B4D" w14:textId="430F92D4" w:rsidR="00A0105F" w:rsidRDefault="00324EF0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643F7">
        <w:rPr>
          <w:rFonts w:ascii="Arial" w:hAnsi="Arial" w:cs="Arial"/>
          <w:color w:val="000000"/>
          <w:sz w:val="22"/>
          <w:szCs w:val="22"/>
        </w:rPr>
        <w:t>“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Ebitda e Posizione Finanziaria Netta (“PFN”)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– spiega de Nuccio </w:t>
      </w:r>
      <w:r w:rsidR="00524766">
        <w:rPr>
          <w:rFonts w:ascii="Arial" w:hAnsi="Arial" w:cs="Arial"/>
          <w:color w:val="000000"/>
          <w:sz w:val="22"/>
          <w:szCs w:val="22"/>
        </w:rPr>
        <w:t>–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sono due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grandezze contabili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</w:t>
      </w:r>
      <w:r w:rsidR="00524766">
        <w:rPr>
          <w:rFonts w:ascii="Arial" w:hAnsi="Arial" w:cs="Arial"/>
          <w:color w:val="000000"/>
          <w:sz w:val="22"/>
          <w:szCs w:val="22"/>
        </w:rPr>
        <w:t xml:space="preserve">a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cui si ricorre comunemente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nell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a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f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requentazione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 xml:space="preserve">quotidiana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del mondo aziendale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 xml:space="preserve">per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individuare degli agili e condivisibili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misuratori di performance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, nonché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 xml:space="preserve">per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l’esperienza maturata nell’effettuazione di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operazioni straordinarie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(fusioni o acquisizioni, anche “M&amp;A”)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.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L’Ebitda, acronimo di </w:t>
      </w:r>
      <w:r w:rsidR="00A0105F" w:rsidRPr="008643F7">
        <w:rPr>
          <w:rFonts w:ascii="Arial" w:hAnsi="Arial" w:cs="Arial"/>
          <w:i/>
          <w:iCs/>
          <w:color w:val="000000"/>
          <w:sz w:val="22"/>
          <w:szCs w:val="22"/>
        </w:rPr>
        <w:t>Earnings before interests taxes, depreciation and amortization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, viene anche definito “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indicatore alternativo di performance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” in quanto, pur rappresentando una misura del risultato economico di un periodo aziendale, non è statuito da alcuno </w:t>
      </w:r>
      <w:r w:rsidR="00A0105F" w:rsidRPr="008643F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standard setter</w:t>
      </w:r>
      <w:r w:rsidR="00A0105F" w:rsidRPr="008643F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(né internazionale, né tantomeno italiano) e, in questo senso, è alternativo rispetto alle definizioni “ufficiali”. L’Ebitda può essere inoltre uno degli “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indicatori finanziari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” di cui all’art. 2428 del Codice civile per la redazione della relazione sulla gestione. 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L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’Ebitda è una grandezza largamente utilizzata almeno come a) misuratore di </w:t>
      </w:r>
      <w:r w:rsidR="00A0105F" w:rsidRPr="008643F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performance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 xml:space="preserve"> economica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nonché b) elemento alla base della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valutazione dell’impresa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.</w:t>
      </w:r>
    </w:p>
    <w:p w14:paraId="222BE063" w14:textId="77777777" w:rsidR="008643F7" w:rsidRPr="008643F7" w:rsidRDefault="008643F7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261B79" w14:textId="013CFEDB" w:rsidR="00A0105F" w:rsidRDefault="00324EF0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643F7">
        <w:rPr>
          <w:rFonts w:ascii="Arial" w:hAnsi="Arial" w:cs="Arial"/>
          <w:color w:val="000000"/>
          <w:sz w:val="22"/>
          <w:szCs w:val="22"/>
        </w:rPr>
        <w:t>“</w:t>
      </w:r>
      <w:r w:rsidR="00524766">
        <w:rPr>
          <w:rFonts w:ascii="Arial" w:hAnsi="Arial" w:cs="Arial"/>
          <w:color w:val="000000"/>
          <w:sz w:val="22"/>
          <w:szCs w:val="22"/>
        </w:rPr>
        <w:t xml:space="preserve">Il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documento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che è un prezioso strumento da impiegare nel quotidiano – aggiunge il presidente dei commercialisti </w:t>
      </w:r>
      <w:r w:rsidR="00524766">
        <w:rPr>
          <w:rFonts w:ascii="Arial" w:hAnsi="Arial" w:cs="Arial"/>
          <w:color w:val="000000"/>
          <w:sz w:val="22"/>
          <w:szCs w:val="22"/>
        </w:rPr>
        <w:t>–,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dopo aver proposto una definizione di Ebitda che ha origine non teorica bensì empirica,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 xml:space="preserve">si </w:t>
      </w:r>
      <w:r w:rsidR="00EE6512" w:rsidRPr="008643F7">
        <w:rPr>
          <w:rFonts w:ascii="Arial" w:hAnsi="Arial" w:cs="Arial"/>
          <w:color w:val="000000"/>
          <w:sz w:val="22"/>
          <w:szCs w:val="22"/>
        </w:rPr>
        <w:t>sofferma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in particolare su alcune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>componenti di costo o ricavo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la cui inclusione o esclusione dalla nozione di Ebitda nella prassi non è sempre “pacifica”</w:t>
      </w:r>
      <w:r w:rsidR="00524766">
        <w:rPr>
          <w:rFonts w:ascii="Arial" w:hAnsi="Arial" w:cs="Arial"/>
          <w:color w:val="000000"/>
          <w:sz w:val="22"/>
          <w:szCs w:val="22"/>
        </w:rPr>
        <w:t>,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ma deve essere valutata in funzione dello specifico contesto.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Vengono poi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individuate alcune </w:t>
      </w:r>
      <w:r w:rsidR="00A0105F" w:rsidRPr="008643F7">
        <w:rPr>
          <w:rFonts w:ascii="Arial" w:hAnsi="Arial" w:cs="Arial"/>
          <w:b/>
          <w:bCs/>
          <w:color w:val="000000"/>
          <w:sz w:val="22"/>
          <w:szCs w:val="22"/>
        </w:rPr>
        <w:t xml:space="preserve">rettifiche 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alla nozione di Ebitda che la prassi delle operazioni di M&amp;A ha introdotto nell’ultimo decennio</w:t>
      </w:r>
      <w:r w:rsidR="00524766">
        <w:rPr>
          <w:rFonts w:ascii="Arial" w:hAnsi="Arial" w:cs="Arial"/>
          <w:color w:val="000000"/>
          <w:sz w:val="22"/>
          <w:szCs w:val="22"/>
        </w:rPr>
        <w:t>,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motivat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>e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 xml:space="preserve"> principalmente da esigenze negoziali</w:t>
      </w:r>
      <w:r w:rsidRPr="008643F7">
        <w:rPr>
          <w:rFonts w:ascii="Arial" w:hAnsi="Arial" w:cs="Arial"/>
          <w:color w:val="000000"/>
          <w:sz w:val="22"/>
          <w:szCs w:val="22"/>
        </w:rPr>
        <w:t>”</w:t>
      </w:r>
      <w:r w:rsidR="00A0105F" w:rsidRPr="008643F7">
        <w:rPr>
          <w:rFonts w:ascii="Arial" w:hAnsi="Arial" w:cs="Arial"/>
          <w:color w:val="000000"/>
          <w:sz w:val="22"/>
          <w:szCs w:val="22"/>
        </w:rPr>
        <w:t>.</w:t>
      </w:r>
    </w:p>
    <w:p w14:paraId="6461190C" w14:textId="77777777" w:rsidR="008643F7" w:rsidRPr="008643F7" w:rsidRDefault="008643F7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18BFCAC" w14:textId="109E95C6" w:rsidR="00A0105F" w:rsidRDefault="00A0105F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643F7">
        <w:rPr>
          <w:rFonts w:ascii="Arial" w:hAnsi="Arial" w:cs="Arial"/>
          <w:color w:val="000000"/>
          <w:sz w:val="22"/>
          <w:szCs w:val="22"/>
        </w:rPr>
        <w:t xml:space="preserve">Per quanto riguarda la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PFN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, spesso definita </w:t>
      </w:r>
      <w:r w:rsidR="00EE6512" w:rsidRPr="008643F7">
        <w:rPr>
          <w:rFonts w:ascii="Arial" w:hAnsi="Arial" w:cs="Arial"/>
          <w:color w:val="000000"/>
          <w:sz w:val="22"/>
          <w:szCs w:val="22"/>
        </w:rPr>
        <w:t>come “</w:t>
      </w:r>
      <w:r w:rsidR="00EE6512" w:rsidRPr="008643F7">
        <w:rPr>
          <w:rFonts w:ascii="Arial" w:hAnsi="Arial" w:cs="Arial"/>
          <w:b/>
          <w:bCs/>
          <w:color w:val="000000"/>
          <w:sz w:val="22"/>
          <w:szCs w:val="22"/>
        </w:rPr>
        <w:t>indicatore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 xml:space="preserve"> alternativo di </w:t>
      </w:r>
      <w:r w:rsidRPr="008643F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performance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”, </w:t>
      </w:r>
      <w:r w:rsidR="00324EF0" w:rsidRPr="008643F7">
        <w:rPr>
          <w:rFonts w:ascii="Arial" w:hAnsi="Arial" w:cs="Arial"/>
          <w:color w:val="000000"/>
          <w:sz w:val="22"/>
          <w:szCs w:val="22"/>
        </w:rPr>
        <w:t>de Nuccio sottolinea come “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occorre ricordare l’esistenza di un assetto definitorio sviluppato almeno a partire dal 2005 a cura del </w:t>
      </w:r>
      <w:r w:rsidRPr="008643F7">
        <w:rPr>
          <w:rFonts w:ascii="Arial" w:hAnsi="Arial" w:cs="Arial"/>
          <w:i/>
          <w:color w:val="000000"/>
          <w:sz w:val="22"/>
          <w:szCs w:val="22"/>
        </w:rPr>
        <w:t xml:space="preserve">CESR </w:t>
      </w:r>
      <w:r w:rsidRPr="008643F7">
        <w:rPr>
          <w:rFonts w:ascii="Arial" w:hAnsi="Arial" w:cs="Arial"/>
          <w:color w:val="000000"/>
          <w:sz w:val="22"/>
          <w:szCs w:val="22"/>
        </w:rPr>
        <w:t>(</w:t>
      </w:r>
      <w:r w:rsidRPr="008643F7">
        <w:rPr>
          <w:rFonts w:ascii="Arial" w:hAnsi="Arial" w:cs="Arial"/>
          <w:i/>
          <w:iCs/>
          <w:color w:val="000000"/>
          <w:sz w:val="22"/>
          <w:szCs w:val="22"/>
        </w:rPr>
        <w:t>Committee of European Securities Regulators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), ora </w:t>
      </w:r>
      <w:r w:rsidRPr="008643F7">
        <w:rPr>
          <w:rFonts w:ascii="Arial" w:hAnsi="Arial" w:cs="Arial"/>
          <w:i/>
          <w:color w:val="000000"/>
          <w:sz w:val="22"/>
          <w:szCs w:val="22"/>
        </w:rPr>
        <w:t>ESMA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(</w:t>
      </w:r>
      <w:r w:rsidRPr="008643F7">
        <w:rPr>
          <w:rFonts w:ascii="Arial" w:hAnsi="Arial" w:cs="Arial"/>
          <w:i/>
          <w:iCs/>
          <w:color w:val="000000"/>
          <w:sz w:val="22"/>
          <w:szCs w:val="22"/>
        </w:rPr>
        <w:t xml:space="preserve">European securities and markets authority), </w:t>
      </w:r>
      <w:r w:rsidRPr="008643F7">
        <w:rPr>
          <w:rFonts w:ascii="Arial" w:hAnsi="Arial" w:cs="Arial"/>
          <w:color w:val="000000"/>
          <w:sz w:val="22"/>
          <w:szCs w:val="22"/>
        </w:rPr>
        <w:t>e in Italia da Consob</w:t>
      </w:r>
      <w:r w:rsidRPr="008643F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(con una Comunicazione </w:t>
      </w:r>
      <w:r w:rsidR="00524766">
        <w:rPr>
          <w:rFonts w:ascii="Arial" w:hAnsi="Arial" w:cs="Arial"/>
          <w:color w:val="000000"/>
          <w:sz w:val="22"/>
          <w:szCs w:val="22"/>
        </w:rPr>
        <w:t>d</w:t>
      </w:r>
      <w:r w:rsidRPr="008643F7">
        <w:rPr>
          <w:rFonts w:ascii="Arial" w:hAnsi="Arial" w:cs="Arial"/>
          <w:color w:val="000000"/>
          <w:sz w:val="22"/>
          <w:szCs w:val="22"/>
        </w:rPr>
        <w:t>el 2006)</w:t>
      </w:r>
      <w:r w:rsidRPr="008643F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643F7">
        <w:rPr>
          <w:rFonts w:ascii="Arial" w:hAnsi="Arial" w:cs="Arial"/>
          <w:color w:val="000000"/>
          <w:sz w:val="22"/>
          <w:szCs w:val="22"/>
        </w:rPr>
        <w:t>e più recentemente oggetto di aggiornamento</w:t>
      </w:r>
      <w:r w:rsidR="00524766">
        <w:rPr>
          <w:rFonts w:ascii="Arial" w:hAnsi="Arial" w:cs="Arial"/>
          <w:color w:val="000000"/>
          <w:sz w:val="22"/>
          <w:szCs w:val="22"/>
        </w:rPr>
        <w:t xml:space="preserve"> (2021)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. </w:t>
      </w:r>
      <w:r w:rsidR="00B21044" w:rsidRPr="008643F7">
        <w:rPr>
          <w:rFonts w:ascii="Arial" w:hAnsi="Arial" w:cs="Arial"/>
          <w:color w:val="000000"/>
          <w:sz w:val="22"/>
          <w:szCs w:val="22"/>
        </w:rPr>
        <w:t xml:space="preserve">Questo documento si </w:t>
      </w:r>
      <w:r w:rsidR="00EE6512" w:rsidRPr="008643F7">
        <w:rPr>
          <w:rFonts w:ascii="Arial" w:hAnsi="Arial" w:cs="Arial"/>
          <w:color w:val="000000"/>
          <w:sz w:val="22"/>
          <w:szCs w:val="22"/>
        </w:rPr>
        <w:t>pone l’obiettivo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di individuare le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rettifiche al calcolo della PFN</w:t>
      </w:r>
      <w:r w:rsidRPr="008643F7">
        <w:rPr>
          <w:rFonts w:ascii="Arial" w:hAnsi="Arial" w:cs="Arial"/>
          <w:color w:val="000000"/>
          <w:sz w:val="22"/>
          <w:szCs w:val="22"/>
        </w:rPr>
        <w:t>, che nella prassi negoziale delle operazioni di M&amp;A costituiscono oggetto di discussione.</w:t>
      </w:r>
      <w:r w:rsidR="00324EF0" w:rsidRPr="008643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43F7">
        <w:rPr>
          <w:rFonts w:ascii="Arial" w:hAnsi="Arial" w:cs="Arial"/>
          <w:color w:val="000000"/>
          <w:sz w:val="22"/>
          <w:szCs w:val="22"/>
        </w:rPr>
        <w:t>In frequenti applicazioni in ambito finanziario</w:t>
      </w:r>
      <w:r w:rsidR="00524766">
        <w:rPr>
          <w:rFonts w:ascii="Arial" w:hAnsi="Arial" w:cs="Arial"/>
          <w:color w:val="000000"/>
          <w:sz w:val="22"/>
          <w:szCs w:val="22"/>
        </w:rPr>
        <w:t>,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i due indicatori sono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impiegati congiuntamente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per il calcolo di uno dei più comuni indici di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sostenibilità finanziaria</w:t>
      </w:r>
      <w:r w:rsidR="00EE6512" w:rsidRPr="008643F7">
        <w:rPr>
          <w:rFonts w:ascii="Arial" w:hAnsi="Arial" w:cs="Arial"/>
          <w:color w:val="000000"/>
          <w:sz w:val="22"/>
          <w:szCs w:val="22"/>
        </w:rPr>
        <w:t>.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</w:t>
      </w:r>
      <w:r w:rsidR="00EE6512" w:rsidRPr="008643F7">
        <w:rPr>
          <w:rFonts w:ascii="Arial" w:hAnsi="Arial" w:cs="Arial"/>
          <w:color w:val="000000"/>
          <w:sz w:val="22"/>
          <w:szCs w:val="22"/>
        </w:rPr>
        <w:t>I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l rapporto PFN/Ebitda assume una significativa valenza per svariati utilizzi quali la misurazione del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merito creditizio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e l’attribuzione di un </w:t>
      </w:r>
      <w:r w:rsidRPr="008643F7">
        <w:rPr>
          <w:rFonts w:ascii="Arial" w:hAnsi="Arial" w:cs="Arial"/>
          <w:b/>
          <w:bCs/>
          <w:i/>
          <w:color w:val="000000"/>
          <w:sz w:val="22"/>
          <w:szCs w:val="22"/>
        </w:rPr>
        <w:t>credit rating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, l’analisi della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performance finanziaria di periodo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e la scrittura di specifiche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clausole di disciplina finanziari</w:t>
      </w:r>
      <w:r w:rsidR="00EE6512" w:rsidRPr="008643F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nei contratti di finanziamento (c.d. </w:t>
      </w:r>
      <w:r w:rsidRPr="008643F7">
        <w:rPr>
          <w:rFonts w:ascii="Arial" w:hAnsi="Arial" w:cs="Arial"/>
          <w:i/>
          <w:color w:val="000000"/>
          <w:sz w:val="22"/>
          <w:szCs w:val="22"/>
        </w:rPr>
        <w:t>covenants</w:t>
      </w:r>
      <w:r w:rsidRPr="008643F7">
        <w:rPr>
          <w:rFonts w:ascii="Arial" w:hAnsi="Arial" w:cs="Arial"/>
          <w:color w:val="000000"/>
          <w:sz w:val="22"/>
          <w:szCs w:val="22"/>
        </w:rPr>
        <w:t>)</w:t>
      </w:r>
      <w:r w:rsidR="00324EF0" w:rsidRPr="008643F7">
        <w:rPr>
          <w:rFonts w:ascii="Arial" w:hAnsi="Arial" w:cs="Arial"/>
          <w:color w:val="000000"/>
          <w:sz w:val="22"/>
          <w:szCs w:val="22"/>
        </w:rPr>
        <w:t>”</w:t>
      </w:r>
      <w:r w:rsidRPr="008643F7">
        <w:rPr>
          <w:rFonts w:ascii="Arial" w:hAnsi="Arial" w:cs="Arial"/>
          <w:color w:val="000000"/>
          <w:sz w:val="22"/>
          <w:szCs w:val="22"/>
        </w:rPr>
        <w:t>.</w:t>
      </w:r>
    </w:p>
    <w:p w14:paraId="796CCD43" w14:textId="77777777" w:rsidR="008643F7" w:rsidRPr="008643F7" w:rsidRDefault="008643F7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D91DB1" w14:textId="4C5671DE" w:rsidR="00A0105F" w:rsidRPr="008643F7" w:rsidRDefault="00A0105F" w:rsidP="008643F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643F7">
        <w:rPr>
          <w:rFonts w:ascii="Arial" w:hAnsi="Arial" w:cs="Arial"/>
          <w:color w:val="000000"/>
          <w:sz w:val="22"/>
          <w:szCs w:val="22"/>
        </w:rPr>
        <w:t xml:space="preserve">Nella parte conclusiva del documento sono inoltre riportate alcune </w:t>
      </w:r>
      <w:r w:rsidRPr="008643F7">
        <w:rPr>
          <w:rFonts w:ascii="Arial" w:hAnsi="Arial" w:cs="Arial"/>
          <w:b/>
          <w:bCs/>
          <w:color w:val="000000"/>
          <w:sz w:val="22"/>
          <w:szCs w:val="22"/>
        </w:rPr>
        <w:t>esemplificazioni pratiche</w:t>
      </w:r>
      <w:r w:rsidRPr="008643F7">
        <w:rPr>
          <w:rFonts w:ascii="Arial" w:hAnsi="Arial" w:cs="Arial"/>
          <w:color w:val="000000"/>
          <w:sz w:val="22"/>
          <w:szCs w:val="22"/>
        </w:rPr>
        <w:t xml:space="preserve"> al fine di un migliore comprensione dei concetti e degli intendimenti espressi.</w:t>
      </w:r>
    </w:p>
    <w:p w14:paraId="1BCF5824" w14:textId="6C948B0E" w:rsidR="0074354C" w:rsidRPr="00A0105F" w:rsidRDefault="00A0105F" w:rsidP="0074354C">
      <w:pPr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 </w:t>
      </w:r>
    </w:p>
    <w:sectPr w:rsidR="0074354C" w:rsidRPr="00A0105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8085" w14:textId="77777777" w:rsidR="002A45CA" w:rsidRDefault="002A45CA" w:rsidP="0053767A">
      <w:r>
        <w:separator/>
      </w:r>
    </w:p>
  </w:endnote>
  <w:endnote w:type="continuationSeparator" w:id="0">
    <w:p w14:paraId="111BEEBA" w14:textId="77777777" w:rsidR="002A45CA" w:rsidRDefault="002A45CA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D872" w14:textId="77777777" w:rsidR="002A45CA" w:rsidRDefault="002A45CA" w:rsidP="0053767A">
      <w:r>
        <w:separator/>
      </w:r>
    </w:p>
  </w:footnote>
  <w:footnote w:type="continuationSeparator" w:id="0">
    <w:p w14:paraId="45213D97" w14:textId="77777777" w:rsidR="002A45CA" w:rsidRDefault="002A45CA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94E35"/>
    <w:rsid w:val="000D7EE9"/>
    <w:rsid w:val="002A45CA"/>
    <w:rsid w:val="002C046C"/>
    <w:rsid w:val="00324EF0"/>
    <w:rsid w:val="00402D0F"/>
    <w:rsid w:val="00524766"/>
    <w:rsid w:val="0053767A"/>
    <w:rsid w:val="00553922"/>
    <w:rsid w:val="00600F24"/>
    <w:rsid w:val="00673359"/>
    <w:rsid w:val="006B3E6A"/>
    <w:rsid w:val="00725CA0"/>
    <w:rsid w:val="0074354C"/>
    <w:rsid w:val="00801280"/>
    <w:rsid w:val="0081776A"/>
    <w:rsid w:val="0082070C"/>
    <w:rsid w:val="0084198B"/>
    <w:rsid w:val="008643F7"/>
    <w:rsid w:val="008B0AD7"/>
    <w:rsid w:val="008D251E"/>
    <w:rsid w:val="009657C6"/>
    <w:rsid w:val="00977FE6"/>
    <w:rsid w:val="00A0105F"/>
    <w:rsid w:val="00B21044"/>
    <w:rsid w:val="00B63700"/>
    <w:rsid w:val="00E730CE"/>
    <w:rsid w:val="00EE6512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105F"/>
    <w:pPr>
      <w:jc w:val="both"/>
    </w:pPr>
    <w:rPr>
      <w:rFonts w:asciiTheme="minorHAnsi" w:eastAsiaTheme="minorEastAsia" w:hAnsiTheme="minorHAnsi" w:cstheme="minorBidi"/>
      <w:color w:val="595959" w:themeColor="text1" w:themeTint="A6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105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A01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</cp:revision>
  <dcterms:created xsi:type="dcterms:W3CDTF">2024-03-14T18:09:00Z</dcterms:created>
  <dcterms:modified xsi:type="dcterms:W3CDTF">2024-03-15T07:38:00Z</dcterms:modified>
</cp:coreProperties>
</file>