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3297" w14:textId="77777777" w:rsidR="0053767A" w:rsidRPr="008643F7" w:rsidRDefault="0053767A" w:rsidP="008643F7">
      <w:pPr>
        <w:jc w:val="center"/>
        <w:rPr>
          <w:rFonts w:ascii="Arial" w:eastAsia="Tahoma" w:hAnsi="Arial" w:cs="Arial"/>
          <w:sz w:val="22"/>
          <w:szCs w:val="22"/>
        </w:rPr>
      </w:pPr>
    </w:p>
    <w:p w14:paraId="584657E1" w14:textId="77777777" w:rsidR="0053767A" w:rsidRPr="008643F7" w:rsidRDefault="0053767A" w:rsidP="008643F7">
      <w:pPr>
        <w:jc w:val="center"/>
        <w:rPr>
          <w:rFonts w:ascii="Arial" w:eastAsia="Tahoma" w:hAnsi="Arial" w:cs="Arial"/>
          <w:b/>
          <w:bCs/>
          <w:sz w:val="22"/>
          <w:szCs w:val="22"/>
        </w:rPr>
      </w:pPr>
    </w:p>
    <w:p w14:paraId="645AADF9" w14:textId="35D8C690" w:rsidR="0081776A" w:rsidRPr="008643F7" w:rsidRDefault="0081776A" w:rsidP="008643F7">
      <w:pPr>
        <w:jc w:val="center"/>
        <w:rPr>
          <w:rFonts w:ascii="Arial" w:eastAsia="Tahoma" w:hAnsi="Arial" w:cs="Arial"/>
          <w:b/>
          <w:bCs/>
          <w:sz w:val="22"/>
          <w:szCs w:val="22"/>
          <w:u w:val="single"/>
        </w:rPr>
      </w:pPr>
      <w:r w:rsidRPr="008643F7">
        <w:rPr>
          <w:rFonts w:ascii="Arial" w:eastAsia="Tahoma" w:hAnsi="Arial" w:cs="Arial"/>
          <w:b/>
          <w:bCs/>
          <w:sz w:val="22"/>
          <w:szCs w:val="22"/>
          <w:u w:val="single"/>
        </w:rPr>
        <w:t>Comunicato stampa</w:t>
      </w:r>
    </w:p>
    <w:p w14:paraId="3F304401" w14:textId="77777777" w:rsidR="0081776A" w:rsidRPr="008643F7" w:rsidRDefault="0081776A" w:rsidP="008643F7">
      <w:pPr>
        <w:jc w:val="center"/>
        <w:rPr>
          <w:rFonts w:ascii="Arial" w:eastAsia="Tahoma" w:hAnsi="Arial" w:cs="Arial"/>
          <w:b/>
          <w:bCs/>
          <w:sz w:val="22"/>
          <w:szCs w:val="22"/>
        </w:rPr>
      </w:pPr>
    </w:p>
    <w:p w14:paraId="5C87D809" w14:textId="61C4C9CB" w:rsidR="00EE6512" w:rsidRPr="008643F7" w:rsidRDefault="00EE6512" w:rsidP="008643F7">
      <w:pPr>
        <w:jc w:val="center"/>
        <w:rPr>
          <w:rFonts w:ascii="Arial" w:eastAsia="Tahoma" w:hAnsi="Arial" w:cs="Arial"/>
          <w:b/>
          <w:bCs/>
          <w:sz w:val="22"/>
          <w:szCs w:val="22"/>
        </w:rPr>
      </w:pPr>
      <w:r w:rsidRPr="008643F7">
        <w:rPr>
          <w:rFonts w:ascii="Arial" w:eastAsia="Tahoma" w:hAnsi="Arial" w:cs="Arial"/>
          <w:b/>
          <w:bCs/>
          <w:sz w:val="22"/>
          <w:szCs w:val="22"/>
        </w:rPr>
        <w:t xml:space="preserve">DAL CONSIGLIO NAZIONALE UN DOCUMENTO </w:t>
      </w:r>
      <w:r w:rsidR="00324EF0" w:rsidRPr="008643F7">
        <w:rPr>
          <w:rFonts w:ascii="Arial" w:eastAsia="Tahoma" w:hAnsi="Arial" w:cs="Arial"/>
          <w:b/>
          <w:bCs/>
          <w:sz w:val="22"/>
          <w:szCs w:val="22"/>
        </w:rPr>
        <w:t xml:space="preserve">TECNICO </w:t>
      </w:r>
      <w:r w:rsidRPr="008643F7">
        <w:rPr>
          <w:rFonts w:ascii="Arial" w:eastAsia="Tahoma" w:hAnsi="Arial" w:cs="Arial"/>
          <w:b/>
          <w:bCs/>
          <w:sz w:val="22"/>
          <w:szCs w:val="22"/>
        </w:rPr>
        <w:t>SU EBITDA E PFN A FINI VALUTATIVI E NEGOZIALI</w:t>
      </w:r>
    </w:p>
    <w:p w14:paraId="01FCBE10" w14:textId="77777777" w:rsidR="00EE6512" w:rsidRPr="008643F7" w:rsidRDefault="00EE6512" w:rsidP="008643F7">
      <w:pPr>
        <w:jc w:val="center"/>
        <w:rPr>
          <w:rFonts w:ascii="Arial" w:eastAsia="Tahoma" w:hAnsi="Arial" w:cs="Arial"/>
          <w:b/>
          <w:bCs/>
          <w:sz w:val="22"/>
          <w:szCs w:val="22"/>
        </w:rPr>
      </w:pPr>
    </w:p>
    <w:p w14:paraId="1806BFCB" w14:textId="16E05EA5" w:rsidR="00EE6512" w:rsidRPr="008643F7" w:rsidRDefault="00EE6512" w:rsidP="008643F7">
      <w:pPr>
        <w:jc w:val="center"/>
        <w:rPr>
          <w:rFonts w:ascii="Arial" w:eastAsia="Tahoma" w:hAnsi="Arial" w:cs="Arial"/>
          <w:b/>
          <w:bCs/>
          <w:i/>
          <w:iCs/>
          <w:sz w:val="22"/>
          <w:szCs w:val="22"/>
        </w:rPr>
      </w:pPr>
      <w:r w:rsidRPr="008643F7">
        <w:rPr>
          <w:rFonts w:ascii="Arial" w:eastAsia="Tahoma" w:hAnsi="Arial" w:cs="Arial"/>
          <w:b/>
          <w:bCs/>
          <w:sz w:val="22"/>
          <w:szCs w:val="22"/>
        </w:rPr>
        <w:t xml:space="preserve">Focus sulle due grandezze contabili cui si ricorre frequentemente per </w:t>
      </w:r>
      <w:r w:rsidRPr="008643F7">
        <w:rPr>
          <w:rFonts w:ascii="Arial" w:hAnsi="Arial" w:cs="Arial"/>
          <w:b/>
          <w:bCs/>
          <w:color w:val="000000"/>
          <w:sz w:val="22"/>
          <w:szCs w:val="22"/>
        </w:rPr>
        <w:t>individuare misuratori di performance agili e condivisibili</w:t>
      </w:r>
      <w:r w:rsidR="00B63700" w:rsidRPr="008643F7">
        <w:rPr>
          <w:rFonts w:ascii="Arial" w:hAnsi="Arial" w:cs="Arial"/>
          <w:b/>
          <w:bCs/>
          <w:color w:val="000000"/>
          <w:sz w:val="22"/>
          <w:szCs w:val="22"/>
        </w:rPr>
        <w:t>. De Nuccio: “Uno strumento utile da utilizzare nel quotidiano”</w:t>
      </w:r>
    </w:p>
    <w:p w14:paraId="26396855" w14:textId="77777777" w:rsidR="00EE6512" w:rsidRPr="008643F7" w:rsidRDefault="00EE6512" w:rsidP="008643F7">
      <w:pPr>
        <w:jc w:val="both"/>
        <w:rPr>
          <w:rFonts w:ascii="Arial" w:eastAsia="Tahoma" w:hAnsi="Arial" w:cs="Arial"/>
          <w:i/>
          <w:iCs/>
          <w:sz w:val="22"/>
          <w:szCs w:val="22"/>
        </w:rPr>
      </w:pPr>
    </w:p>
    <w:p w14:paraId="71D8ECE6" w14:textId="65FB489A" w:rsidR="00A0105F" w:rsidRPr="008643F7" w:rsidRDefault="00524766" w:rsidP="008643F7">
      <w:pPr>
        <w:jc w:val="both"/>
        <w:rPr>
          <w:rFonts w:ascii="Arial" w:eastAsia="Tahoma" w:hAnsi="Arial" w:cs="Arial"/>
          <w:sz w:val="22"/>
          <w:szCs w:val="22"/>
        </w:rPr>
      </w:pPr>
      <w:r>
        <w:rPr>
          <w:rFonts w:ascii="Arial" w:eastAsia="Tahoma" w:hAnsi="Arial" w:cs="Arial"/>
          <w:i/>
          <w:iCs/>
          <w:sz w:val="22"/>
          <w:szCs w:val="22"/>
        </w:rPr>
        <w:t xml:space="preserve">Roma, 15 </w:t>
      </w:r>
      <w:r w:rsidR="00A0105F" w:rsidRPr="008643F7">
        <w:rPr>
          <w:rFonts w:ascii="Arial" w:eastAsia="Tahoma" w:hAnsi="Arial" w:cs="Arial"/>
          <w:i/>
          <w:iCs/>
          <w:sz w:val="22"/>
          <w:szCs w:val="22"/>
        </w:rPr>
        <w:t xml:space="preserve">marzo 2024 </w:t>
      </w:r>
      <w:r w:rsidRPr="00524766">
        <w:rPr>
          <w:rFonts w:ascii="Arial" w:eastAsia="Tahoma" w:hAnsi="Arial" w:cs="Arial"/>
          <w:sz w:val="22"/>
          <w:szCs w:val="22"/>
        </w:rPr>
        <w:t>–</w:t>
      </w:r>
      <w:r w:rsidR="00A0105F" w:rsidRPr="00524766">
        <w:rPr>
          <w:rFonts w:ascii="Arial" w:eastAsia="Tahoma" w:hAnsi="Arial" w:cs="Arial"/>
          <w:sz w:val="22"/>
          <w:szCs w:val="22"/>
        </w:rPr>
        <w:t xml:space="preserve"> “</w:t>
      </w:r>
      <w:r w:rsidR="00A0105F" w:rsidRPr="00524766">
        <w:rPr>
          <w:rFonts w:ascii="Arial" w:eastAsia="Tahoma" w:hAnsi="Arial" w:cs="Arial"/>
          <w:b/>
          <w:bCs/>
          <w:sz w:val="22"/>
          <w:szCs w:val="22"/>
        </w:rPr>
        <w:t>Ebitda e Pfn a fini valutativi e negoziali</w:t>
      </w:r>
      <w:r w:rsidR="00A0105F" w:rsidRPr="00524766">
        <w:rPr>
          <w:rFonts w:ascii="Arial" w:eastAsia="Tahoma" w:hAnsi="Arial" w:cs="Arial"/>
          <w:sz w:val="22"/>
          <w:szCs w:val="22"/>
        </w:rPr>
        <w:t xml:space="preserve">” è il titolo del documento </w:t>
      </w:r>
      <w:r w:rsidR="00324EF0" w:rsidRPr="00524766">
        <w:rPr>
          <w:rFonts w:ascii="Arial" w:eastAsia="Tahoma" w:hAnsi="Arial" w:cs="Arial"/>
          <w:sz w:val="22"/>
          <w:szCs w:val="22"/>
        </w:rPr>
        <w:t xml:space="preserve">tecnico </w:t>
      </w:r>
      <w:r w:rsidR="00A0105F" w:rsidRPr="008643F7">
        <w:rPr>
          <w:rFonts w:ascii="Arial" w:eastAsia="Tahoma" w:hAnsi="Arial" w:cs="Arial"/>
          <w:sz w:val="22"/>
          <w:szCs w:val="22"/>
        </w:rPr>
        <w:t>elaborato dalla Commissione di studio “</w:t>
      </w:r>
      <w:r w:rsidR="00A0105F" w:rsidRPr="008643F7">
        <w:rPr>
          <w:rFonts w:ascii="Arial" w:eastAsia="Tahoma" w:hAnsi="Arial" w:cs="Arial"/>
          <w:b/>
          <w:bCs/>
          <w:sz w:val="22"/>
          <w:szCs w:val="22"/>
        </w:rPr>
        <w:t>Valutazioni per il bilancio</w:t>
      </w:r>
      <w:r w:rsidR="00A0105F" w:rsidRPr="008643F7">
        <w:rPr>
          <w:rFonts w:ascii="Arial" w:eastAsia="Tahoma" w:hAnsi="Arial" w:cs="Arial"/>
          <w:sz w:val="22"/>
          <w:szCs w:val="22"/>
        </w:rPr>
        <w:t>” del Consiglio nazionale dei commercialisti, operante nell’ambito dell’area di delega “</w:t>
      </w:r>
      <w:r w:rsidR="00A0105F" w:rsidRPr="008643F7">
        <w:rPr>
          <w:rFonts w:ascii="Arial" w:eastAsia="Tahoma" w:hAnsi="Arial" w:cs="Arial"/>
          <w:b/>
          <w:bCs/>
          <w:sz w:val="22"/>
          <w:szCs w:val="22"/>
        </w:rPr>
        <w:t>Principi contabili e valutazioni</w:t>
      </w:r>
      <w:r w:rsidR="00A0105F" w:rsidRPr="008643F7">
        <w:rPr>
          <w:rFonts w:ascii="Arial" w:eastAsia="Tahoma" w:hAnsi="Arial" w:cs="Arial"/>
          <w:sz w:val="22"/>
          <w:szCs w:val="22"/>
        </w:rPr>
        <w:t xml:space="preserve">” </w:t>
      </w:r>
      <w:r>
        <w:rPr>
          <w:rFonts w:ascii="Arial" w:eastAsia="Tahoma" w:hAnsi="Arial" w:cs="Arial"/>
          <w:sz w:val="22"/>
          <w:szCs w:val="22"/>
        </w:rPr>
        <w:t xml:space="preserve">e </w:t>
      </w:r>
      <w:r w:rsidR="00324EF0" w:rsidRPr="008643F7">
        <w:rPr>
          <w:rFonts w:ascii="Arial" w:eastAsia="Tahoma" w:hAnsi="Arial" w:cs="Arial"/>
          <w:sz w:val="22"/>
          <w:szCs w:val="22"/>
        </w:rPr>
        <w:t>coordinata</w:t>
      </w:r>
      <w:r w:rsidR="00A0105F" w:rsidRPr="008643F7">
        <w:rPr>
          <w:rFonts w:ascii="Arial" w:eastAsia="Tahoma" w:hAnsi="Arial" w:cs="Arial"/>
          <w:sz w:val="22"/>
          <w:szCs w:val="22"/>
        </w:rPr>
        <w:t xml:space="preserve"> dal Presidente nazionale </w:t>
      </w:r>
      <w:r w:rsidR="00A0105F" w:rsidRPr="008643F7">
        <w:rPr>
          <w:rFonts w:ascii="Arial" w:eastAsia="Tahoma" w:hAnsi="Arial" w:cs="Arial"/>
          <w:b/>
          <w:bCs/>
          <w:sz w:val="22"/>
          <w:szCs w:val="22"/>
        </w:rPr>
        <w:t>Elbano de Nuccio</w:t>
      </w:r>
      <w:r w:rsidR="00A0105F" w:rsidRPr="008643F7">
        <w:rPr>
          <w:rFonts w:ascii="Arial" w:eastAsia="Tahoma" w:hAnsi="Arial" w:cs="Arial"/>
          <w:sz w:val="22"/>
          <w:szCs w:val="22"/>
        </w:rPr>
        <w:t>.</w:t>
      </w:r>
    </w:p>
    <w:p w14:paraId="19A788DB" w14:textId="77777777" w:rsidR="00A0105F" w:rsidRPr="008643F7" w:rsidRDefault="00A0105F" w:rsidP="008643F7">
      <w:pPr>
        <w:jc w:val="both"/>
        <w:rPr>
          <w:rFonts w:ascii="Arial" w:eastAsia="Tahoma" w:hAnsi="Arial" w:cs="Arial"/>
          <w:sz w:val="22"/>
          <w:szCs w:val="22"/>
        </w:rPr>
      </w:pPr>
    </w:p>
    <w:p w14:paraId="4C8C6B4D" w14:textId="430F92D4" w:rsidR="00A0105F" w:rsidRDefault="00324EF0" w:rsidP="008643F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643F7">
        <w:rPr>
          <w:rFonts w:ascii="Arial" w:hAnsi="Arial" w:cs="Arial"/>
          <w:color w:val="000000"/>
          <w:sz w:val="22"/>
          <w:szCs w:val="22"/>
        </w:rPr>
        <w:t>“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>Ebitda e Posizione Finanziaria Netta (“PFN”)</w:t>
      </w:r>
      <w:r w:rsidRPr="008643F7">
        <w:rPr>
          <w:rFonts w:ascii="Arial" w:hAnsi="Arial" w:cs="Arial"/>
          <w:color w:val="000000"/>
          <w:sz w:val="22"/>
          <w:szCs w:val="22"/>
        </w:rPr>
        <w:t xml:space="preserve"> – spiega de Nuccio </w:t>
      </w:r>
      <w:r w:rsidR="00524766">
        <w:rPr>
          <w:rFonts w:ascii="Arial" w:hAnsi="Arial" w:cs="Arial"/>
          <w:color w:val="000000"/>
          <w:sz w:val="22"/>
          <w:szCs w:val="22"/>
        </w:rPr>
        <w:t>–</w:t>
      </w:r>
      <w:r w:rsidRPr="008643F7">
        <w:rPr>
          <w:rFonts w:ascii="Arial" w:hAnsi="Arial" w:cs="Arial"/>
          <w:color w:val="000000"/>
          <w:sz w:val="22"/>
          <w:szCs w:val="22"/>
        </w:rPr>
        <w:t xml:space="preserve"> 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 xml:space="preserve">sono due </w:t>
      </w:r>
      <w:r w:rsidR="00A0105F" w:rsidRPr="008643F7">
        <w:rPr>
          <w:rFonts w:ascii="Arial" w:hAnsi="Arial" w:cs="Arial"/>
          <w:b/>
          <w:bCs/>
          <w:color w:val="000000"/>
          <w:sz w:val="22"/>
          <w:szCs w:val="22"/>
        </w:rPr>
        <w:t>grandezze contabili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 xml:space="preserve"> </w:t>
      </w:r>
      <w:r w:rsidR="00524766">
        <w:rPr>
          <w:rFonts w:ascii="Arial" w:hAnsi="Arial" w:cs="Arial"/>
          <w:color w:val="000000"/>
          <w:sz w:val="22"/>
          <w:szCs w:val="22"/>
        </w:rPr>
        <w:t xml:space="preserve">a 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 xml:space="preserve">cui si ricorre comunemente </w:t>
      </w:r>
      <w:r w:rsidR="00B21044" w:rsidRPr="008643F7">
        <w:rPr>
          <w:rFonts w:ascii="Arial" w:hAnsi="Arial" w:cs="Arial"/>
          <w:color w:val="000000"/>
          <w:sz w:val="22"/>
          <w:szCs w:val="22"/>
        </w:rPr>
        <w:t>nell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 xml:space="preserve">a </w:t>
      </w:r>
      <w:r w:rsidR="00B21044" w:rsidRPr="008643F7">
        <w:rPr>
          <w:rFonts w:ascii="Arial" w:hAnsi="Arial" w:cs="Arial"/>
          <w:color w:val="000000"/>
          <w:sz w:val="22"/>
          <w:szCs w:val="22"/>
        </w:rPr>
        <w:t>f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 xml:space="preserve">requentazione </w:t>
      </w:r>
      <w:r w:rsidR="00B21044" w:rsidRPr="008643F7">
        <w:rPr>
          <w:rFonts w:ascii="Arial" w:hAnsi="Arial" w:cs="Arial"/>
          <w:color w:val="000000"/>
          <w:sz w:val="22"/>
          <w:szCs w:val="22"/>
        </w:rPr>
        <w:t xml:space="preserve">quotidiana 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 xml:space="preserve">del mondo aziendale </w:t>
      </w:r>
      <w:r w:rsidR="00B21044" w:rsidRPr="008643F7">
        <w:rPr>
          <w:rFonts w:ascii="Arial" w:hAnsi="Arial" w:cs="Arial"/>
          <w:color w:val="000000"/>
          <w:sz w:val="22"/>
          <w:szCs w:val="22"/>
        </w:rPr>
        <w:t xml:space="preserve">per 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 xml:space="preserve">individuare degli agili e condivisibili </w:t>
      </w:r>
      <w:r w:rsidR="00A0105F" w:rsidRPr="008643F7">
        <w:rPr>
          <w:rFonts w:ascii="Arial" w:hAnsi="Arial" w:cs="Arial"/>
          <w:b/>
          <w:bCs/>
          <w:color w:val="000000"/>
          <w:sz w:val="22"/>
          <w:szCs w:val="22"/>
        </w:rPr>
        <w:t>misuratori di performance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 xml:space="preserve">, nonché </w:t>
      </w:r>
      <w:r w:rsidR="00B21044" w:rsidRPr="008643F7">
        <w:rPr>
          <w:rFonts w:ascii="Arial" w:hAnsi="Arial" w:cs="Arial"/>
          <w:color w:val="000000"/>
          <w:sz w:val="22"/>
          <w:szCs w:val="22"/>
        </w:rPr>
        <w:t xml:space="preserve">per 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 xml:space="preserve">l’esperienza maturata nell’effettuazione di </w:t>
      </w:r>
      <w:r w:rsidR="00A0105F" w:rsidRPr="008643F7">
        <w:rPr>
          <w:rFonts w:ascii="Arial" w:hAnsi="Arial" w:cs="Arial"/>
          <w:b/>
          <w:bCs/>
          <w:color w:val="000000"/>
          <w:sz w:val="22"/>
          <w:szCs w:val="22"/>
        </w:rPr>
        <w:t>operazioni straordinarie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 xml:space="preserve"> (fusioni o acquisizioni, anche “M&amp;A”)</w:t>
      </w:r>
      <w:r w:rsidRPr="008643F7">
        <w:rPr>
          <w:rFonts w:ascii="Arial" w:hAnsi="Arial" w:cs="Arial"/>
          <w:color w:val="000000"/>
          <w:sz w:val="22"/>
          <w:szCs w:val="22"/>
        </w:rPr>
        <w:t xml:space="preserve">. 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 xml:space="preserve">L’Ebitda, acronimo di </w:t>
      </w:r>
      <w:r w:rsidR="00A0105F" w:rsidRPr="008643F7">
        <w:rPr>
          <w:rFonts w:ascii="Arial" w:hAnsi="Arial" w:cs="Arial"/>
          <w:i/>
          <w:iCs/>
          <w:color w:val="000000"/>
          <w:sz w:val="22"/>
          <w:szCs w:val="22"/>
        </w:rPr>
        <w:t>Earnings before interests taxes, depreciation and amortization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>, viene anche definito “</w:t>
      </w:r>
      <w:r w:rsidR="00A0105F" w:rsidRPr="008643F7">
        <w:rPr>
          <w:rFonts w:ascii="Arial" w:hAnsi="Arial" w:cs="Arial"/>
          <w:b/>
          <w:bCs/>
          <w:color w:val="000000"/>
          <w:sz w:val="22"/>
          <w:szCs w:val="22"/>
        </w:rPr>
        <w:t>indicatore alternativo di performance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 xml:space="preserve">” in quanto, pur rappresentando una misura del risultato economico di un periodo aziendale, non è statuito da alcuno </w:t>
      </w:r>
      <w:r w:rsidR="00A0105F" w:rsidRPr="008643F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standard setter</w:t>
      </w:r>
      <w:r w:rsidR="00A0105F" w:rsidRPr="008643F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>(né internazionale, né tantomeno italiano) e, in questo senso, è alternativo rispetto alle definizioni “ufficiali”. L’Ebitda può essere inoltre uno degli “</w:t>
      </w:r>
      <w:r w:rsidR="00A0105F" w:rsidRPr="008643F7">
        <w:rPr>
          <w:rFonts w:ascii="Arial" w:hAnsi="Arial" w:cs="Arial"/>
          <w:b/>
          <w:bCs/>
          <w:color w:val="000000"/>
          <w:sz w:val="22"/>
          <w:szCs w:val="22"/>
        </w:rPr>
        <w:t>indicatori finanziari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 xml:space="preserve">” di cui all’art. 2428 del Codice civile per la redazione della relazione sulla gestione.  </w:t>
      </w:r>
      <w:r w:rsidR="00B21044" w:rsidRPr="008643F7">
        <w:rPr>
          <w:rFonts w:ascii="Arial" w:hAnsi="Arial" w:cs="Arial"/>
          <w:color w:val="000000"/>
          <w:sz w:val="22"/>
          <w:szCs w:val="22"/>
        </w:rPr>
        <w:t>L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 xml:space="preserve">’Ebitda è una grandezza largamente utilizzata almeno come a) misuratore di </w:t>
      </w:r>
      <w:r w:rsidR="00A0105F" w:rsidRPr="008643F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performance</w:t>
      </w:r>
      <w:r w:rsidR="00A0105F" w:rsidRPr="008643F7">
        <w:rPr>
          <w:rFonts w:ascii="Arial" w:hAnsi="Arial" w:cs="Arial"/>
          <w:b/>
          <w:bCs/>
          <w:color w:val="000000"/>
          <w:sz w:val="22"/>
          <w:szCs w:val="22"/>
        </w:rPr>
        <w:t xml:space="preserve"> economica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 xml:space="preserve"> nonché b) elemento alla base della </w:t>
      </w:r>
      <w:r w:rsidR="00A0105F" w:rsidRPr="008643F7">
        <w:rPr>
          <w:rFonts w:ascii="Arial" w:hAnsi="Arial" w:cs="Arial"/>
          <w:b/>
          <w:bCs/>
          <w:color w:val="000000"/>
          <w:sz w:val="22"/>
          <w:szCs w:val="22"/>
        </w:rPr>
        <w:t>valutazione dell’impresa</w:t>
      </w:r>
      <w:r w:rsidRPr="008643F7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>.</w:t>
      </w:r>
    </w:p>
    <w:p w14:paraId="222BE063" w14:textId="77777777" w:rsidR="008643F7" w:rsidRPr="008643F7" w:rsidRDefault="008643F7" w:rsidP="008643F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261B79" w14:textId="013CFEDB" w:rsidR="00A0105F" w:rsidRDefault="00324EF0" w:rsidP="008643F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643F7">
        <w:rPr>
          <w:rFonts w:ascii="Arial" w:hAnsi="Arial" w:cs="Arial"/>
          <w:color w:val="000000"/>
          <w:sz w:val="22"/>
          <w:szCs w:val="22"/>
        </w:rPr>
        <w:t>“</w:t>
      </w:r>
      <w:r w:rsidR="00524766">
        <w:rPr>
          <w:rFonts w:ascii="Arial" w:hAnsi="Arial" w:cs="Arial"/>
          <w:color w:val="000000"/>
          <w:sz w:val="22"/>
          <w:szCs w:val="22"/>
        </w:rPr>
        <w:t xml:space="preserve">Il </w:t>
      </w:r>
      <w:r w:rsidR="00B21044" w:rsidRPr="008643F7">
        <w:rPr>
          <w:rFonts w:ascii="Arial" w:hAnsi="Arial" w:cs="Arial"/>
          <w:color w:val="000000"/>
          <w:sz w:val="22"/>
          <w:szCs w:val="22"/>
        </w:rPr>
        <w:t>documento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643F7">
        <w:rPr>
          <w:rFonts w:ascii="Arial" w:hAnsi="Arial" w:cs="Arial"/>
          <w:color w:val="000000"/>
          <w:sz w:val="22"/>
          <w:szCs w:val="22"/>
        </w:rPr>
        <w:t xml:space="preserve">che è un prezioso strumento da impiegare nel quotidiano – aggiunge il presidente dei commercialisti </w:t>
      </w:r>
      <w:r w:rsidR="00524766">
        <w:rPr>
          <w:rFonts w:ascii="Arial" w:hAnsi="Arial" w:cs="Arial"/>
          <w:color w:val="000000"/>
          <w:sz w:val="22"/>
          <w:szCs w:val="22"/>
        </w:rPr>
        <w:t>–,</w:t>
      </w:r>
      <w:r w:rsidRPr="008643F7">
        <w:rPr>
          <w:rFonts w:ascii="Arial" w:hAnsi="Arial" w:cs="Arial"/>
          <w:color w:val="000000"/>
          <w:sz w:val="22"/>
          <w:szCs w:val="22"/>
        </w:rPr>
        <w:t xml:space="preserve"> 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 xml:space="preserve">dopo aver proposto una definizione di Ebitda che ha origine non teorica bensì empirica, </w:t>
      </w:r>
      <w:r w:rsidR="00B21044" w:rsidRPr="008643F7">
        <w:rPr>
          <w:rFonts w:ascii="Arial" w:hAnsi="Arial" w:cs="Arial"/>
          <w:color w:val="000000"/>
          <w:sz w:val="22"/>
          <w:szCs w:val="22"/>
        </w:rPr>
        <w:t xml:space="preserve">si </w:t>
      </w:r>
      <w:r w:rsidR="00EE6512" w:rsidRPr="008643F7">
        <w:rPr>
          <w:rFonts w:ascii="Arial" w:hAnsi="Arial" w:cs="Arial"/>
          <w:color w:val="000000"/>
          <w:sz w:val="22"/>
          <w:szCs w:val="22"/>
        </w:rPr>
        <w:t>sofferma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 xml:space="preserve"> in particolare su alcune </w:t>
      </w:r>
      <w:r w:rsidR="00A0105F" w:rsidRPr="008643F7">
        <w:rPr>
          <w:rFonts w:ascii="Arial" w:hAnsi="Arial" w:cs="Arial"/>
          <w:b/>
          <w:bCs/>
          <w:color w:val="000000"/>
          <w:sz w:val="22"/>
          <w:szCs w:val="22"/>
        </w:rPr>
        <w:t>componenti di costo o ricavo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 xml:space="preserve"> la cui inclusione o esclusione dalla nozione di Ebitda nella prassi non è sempre “pacifica”</w:t>
      </w:r>
      <w:r w:rsidR="00524766">
        <w:rPr>
          <w:rFonts w:ascii="Arial" w:hAnsi="Arial" w:cs="Arial"/>
          <w:color w:val="000000"/>
          <w:sz w:val="22"/>
          <w:szCs w:val="22"/>
        </w:rPr>
        <w:t>,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 xml:space="preserve"> ma deve essere valutata in funzione dello specifico contesto. </w:t>
      </w:r>
      <w:r w:rsidR="00B21044" w:rsidRPr="008643F7">
        <w:rPr>
          <w:rFonts w:ascii="Arial" w:hAnsi="Arial" w:cs="Arial"/>
          <w:color w:val="000000"/>
          <w:sz w:val="22"/>
          <w:szCs w:val="22"/>
        </w:rPr>
        <w:t>Vengono poi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 xml:space="preserve"> individuate alcune </w:t>
      </w:r>
      <w:r w:rsidR="00A0105F" w:rsidRPr="008643F7">
        <w:rPr>
          <w:rFonts w:ascii="Arial" w:hAnsi="Arial" w:cs="Arial"/>
          <w:b/>
          <w:bCs/>
          <w:color w:val="000000"/>
          <w:sz w:val="22"/>
          <w:szCs w:val="22"/>
        </w:rPr>
        <w:t xml:space="preserve">rettifiche 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>alla nozione di Ebitda che la prassi delle operazioni di M&amp;A ha introdotto nell’ultimo decennio</w:t>
      </w:r>
      <w:r w:rsidR="00524766">
        <w:rPr>
          <w:rFonts w:ascii="Arial" w:hAnsi="Arial" w:cs="Arial"/>
          <w:color w:val="000000"/>
          <w:sz w:val="22"/>
          <w:szCs w:val="22"/>
        </w:rPr>
        <w:t>,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 xml:space="preserve"> motivat</w:t>
      </w:r>
      <w:r w:rsidR="00B21044" w:rsidRPr="008643F7">
        <w:rPr>
          <w:rFonts w:ascii="Arial" w:hAnsi="Arial" w:cs="Arial"/>
          <w:color w:val="000000"/>
          <w:sz w:val="22"/>
          <w:szCs w:val="22"/>
        </w:rPr>
        <w:t>e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 xml:space="preserve"> principalmente da esigenze negoziali</w:t>
      </w:r>
      <w:r w:rsidRPr="008643F7">
        <w:rPr>
          <w:rFonts w:ascii="Arial" w:hAnsi="Arial" w:cs="Arial"/>
          <w:color w:val="000000"/>
          <w:sz w:val="22"/>
          <w:szCs w:val="22"/>
        </w:rPr>
        <w:t>”</w:t>
      </w:r>
      <w:r w:rsidR="00A0105F" w:rsidRPr="008643F7">
        <w:rPr>
          <w:rFonts w:ascii="Arial" w:hAnsi="Arial" w:cs="Arial"/>
          <w:color w:val="000000"/>
          <w:sz w:val="22"/>
          <w:szCs w:val="22"/>
        </w:rPr>
        <w:t>.</w:t>
      </w:r>
    </w:p>
    <w:p w14:paraId="6461190C" w14:textId="77777777" w:rsidR="008643F7" w:rsidRPr="008643F7" w:rsidRDefault="008643F7" w:rsidP="008643F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18BFCAC" w14:textId="109E95C6" w:rsidR="00A0105F" w:rsidRDefault="00A0105F" w:rsidP="008643F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643F7">
        <w:rPr>
          <w:rFonts w:ascii="Arial" w:hAnsi="Arial" w:cs="Arial"/>
          <w:color w:val="000000"/>
          <w:sz w:val="22"/>
          <w:szCs w:val="22"/>
        </w:rPr>
        <w:t xml:space="preserve">Per quanto riguarda la </w:t>
      </w:r>
      <w:r w:rsidRPr="008643F7">
        <w:rPr>
          <w:rFonts w:ascii="Arial" w:hAnsi="Arial" w:cs="Arial"/>
          <w:b/>
          <w:bCs/>
          <w:color w:val="000000"/>
          <w:sz w:val="22"/>
          <w:szCs w:val="22"/>
        </w:rPr>
        <w:t>PFN</w:t>
      </w:r>
      <w:r w:rsidRPr="008643F7">
        <w:rPr>
          <w:rFonts w:ascii="Arial" w:hAnsi="Arial" w:cs="Arial"/>
          <w:color w:val="000000"/>
          <w:sz w:val="22"/>
          <w:szCs w:val="22"/>
        </w:rPr>
        <w:t xml:space="preserve">, spesso definita </w:t>
      </w:r>
      <w:r w:rsidR="00EE6512" w:rsidRPr="008643F7">
        <w:rPr>
          <w:rFonts w:ascii="Arial" w:hAnsi="Arial" w:cs="Arial"/>
          <w:color w:val="000000"/>
          <w:sz w:val="22"/>
          <w:szCs w:val="22"/>
        </w:rPr>
        <w:t>come “</w:t>
      </w:r>
      <w:r w:rsidR="00EE6512" w:rsidRPr="008643F7">
        <w:rPr>
          <w:rFonts w:ascii="Arial" w:hAnsi="Arial" w:cs="Arial"/>
          <w:b/>
          <w:bCs/>
          <w:color w:val="000000"/>
          <w:sz w:val="22"/>
          <w:szCs w:val="22"/>
        </w:rPr>
        <w:t>indicatore</w:t>
      </w:r>
      <w:r w:rsidRPr="008643F7">
        <w:rPr>
          <w:rFonts w:ascii="Arial" w:hAnsi="Arial" w:cs="Arial"/>
          <w:b/>
          <w:bCs/>
          <w:color w:val="000000"/>
          <w:sz w:val="22"/>
          <w:szCs w:val="22"/>
        </w:rPr>
        <w:t xml:space="preserve"> alternativo di </w:t>
      </w:r>
      <w:r w:rsidRPr="008643F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performance</w:t>
      </w:r>
      <w:r w:rsidRPr="008643F7">
        <w:rPr>
          <w:rFonts w:ascii="Arial" w:hAnsi="Arial" w:cs="Arial"/>
          <w:color w:val="000000"/>
          <w:sz w:val="22"/>
          <w:szCs w:val="22"/>
        </w:rPr>
        <w:t xml:space="preserve">”, </w:t>
      </w:r>
      <w:r w:rsidR="00324EF0" w:rsidRPr="008643F7">
        <w:rPr>
          <w:rFonts w:ascii="Arial" w:hAnsi="Arial" w:cs="Arial"/>
          <w:color w:val="000000"/>
          <w:sz w:val="22"/>
          <w:szCs w:val="22"/>
        </w:rPr>
        <w:t>de Nuccio sottolinea come “</w:t>
      </w:r>
      <w:r w:rsidRPr="008643F7">
        <w:rPr>
          <w:rFonts w:ascii="Arial" w:hAnsi="Arial" w:cs="Arial"/>
          <w:color w:val="000000"/>
          <w:sz w:val="22"/>
          <w:szCs w:val="22"/>
        </w:rPr>
        <w:t xml:space="preserve">occorre ricordare l’esistenza di un assetto definitorio sviluppato almeno a partire dal 2005 a cura del </w:t>
      </w:r>
      <w:r w:rsidRPr="008643F7">
        <w:rPr>
          <w:rFonts w:ascii="Arial" w:hAnsi="Arial" w:cs="Arial"/>
          <w:i/>
          <w:color w:val="000000"/>
          <w:sz w:val="22"/>
          <w:szCs w:val="22"/>
        </w:rPr>
        <w:t xml:space="preserve">CESR </w:t>
      </w:r>
      <w:r w:rsidRPr="008643F7">
        <w:rPr>
          <w:rFonts w:ascii="Arial" w:hAnsi="Arial" w:cs="Arial"/>
          <w:color w:val="000000"/>
          <w:sz w:val="22"/>
          <w:szCs w:val="22"/>
        </w:rPr>
        <w:t>(</w:t>
      </w:r>
      <w:r w:rsidRPr="008643F7">
        <w:rPr>
          <w:rFonts w:ascii="Arial" w:hAnsi="Arial" w:cs="Arial"/>
          <w:i/>
          <w:iCs/>
          <w:color w:val="000000"/>
          <w:sz w:val="22"/>
          <w:szCs w:val="22"/>
        </w:rPr>
        <w:t>Committee of European Securities Regulators</w:t>
      </w:r>
      <w:r w:rsidRPr="008643F7">
        <w:rPr>
          <w:rFonts w:ascii="Arial" w:hAnsi="Arial" w:cs="Arial"/>
          <w:color w:val="000000"/>
          <w:sz w:val="22"/>
          <w:szCs w:val="22"/>
        </w:rPr>
        <w:t xml:space="preserve">), ora </w:t>
      </w:r>
      <w:r w:rsidRPr="008643F7">
        <w:rPr>
          <w:rFonts w:ascii="Arial" w:hAnsi="Arial" w:cs="Arial"/>
          <w:i/>
          <w:color w:val="000000"/>
          <w:sz w:val="22"/>
          <w:szCs w:val="22"/>
        </w:rPr>
        <w:t>ESMA</w:t>
      </w:r>
      <w:r w:rsidRPr="008643F7">
        <w:rPr>
          <w:rFonts w:ascii="Arial" w:hAnsi="Arial" w:cs="Arial"/>
          <w:color w:val="000000"/>
          <w:sz w:val="22"/>
          <w:szCs w:val="22"/>
        </w:rPr>
        <w:t xml:space="preserve"> (</w:t>
      </w:r>
      <w:r w:rsidRPr="008643F7">
        <w:rPr>
          <w:rFonts w:ascii="Arial" w:hAnsi="Arial" w:cs="Arial"/>
          <w:i/>
          <w:iCs/>
          <w:color w:val="000000"/>
          <w:sz w:val="22"/>
          <w:szCs w:val="22"/>
        </w:rPr>
        <w:t xml:space="preserve">European securities and markets authority), </w:t>
      </w:r>
      <w:r w:rsidRPr="008643F7">
        <w:rPr>
          <w:rFonts w:ascii="Arial" w:hAnsi="Arial" w:cs="Arial"/>
          <w:color w:val="000000"/>
          <w:sz w:val="22"/>
          <w:szCs w:val="22"/>
        </w:rPr>
        <w:t>e in Italia da Consob</w:t>
      </w:r>
      <w:r w:rsidRPr="008643F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8643F7">
        <w:rPr>
          <w:rFonts w:ascii="Arial" w:hAnsi="Arial" w:cs="Arial"/>
          <w:color w:val="000000"/>
          <w:sz w:val="22"/>
          <w:szCs w:val="22"/>
        </w:rPr>
        <w:t xml:space="preserve">(con una Comunicazione </w:t>
      </w:r>
      <w:r w:rsidR="00524766">
        <w:rPr>
          <w:rFonts w:ascii="Arial" w:hAnsi="Arial" w:cs="Arial"/>
          <w:color w:val="000000"/>
          <w:sz w:val="22"/>
          <w:szCs w:val="22"/>
        </w:rPr>
        <w:t>d</w:t>
      </w:r>
      <w:r w:rsidRPr="008643F7">
        <w:rPr>
          <w:rFonts w:ascii="Arial" w:hAnsi="Arial" w:cs="Arial"/>
          <w:color w:val="000000"/>
          <w:sz w:val="22"/>
          <w:szCs w:val="22"/>
        </w:rPr>
        <w:t>el 2006)</w:t>
      </w:r>
      <w:r w:rsidRPr="008643F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8643F7">
        <w:rPr>
          <w:rFonts w:ascii="Arial" w:hAnsi="Arial" w:cs="Arial"/>
          <w:color w:val="000000"/>
          <w:sz w:val="22"/>
          <w:szCs w:val="22"/>
        </w:rPr>
        <w:t>e più recentemente oggetto di aggiornamento</w:t>
      </w:r>
      <w:r w:rsidR="00524766">
        <w:rPr>
          <w:rFonts w:ascii="Arial" w:hAnsi="Arial" w:cs="Arial"/>
          <w:color w:val="000000"/>
          <w:sz w:val="22"/>
          <w:szCs w:val="22"/>
        </w:rPr>
        <w:t xml:space="preserve"> (2021)</w:t>
      </w:r>
      <w:r w:rsidRPr="008643F7">
        <w:rPr>
          <w:rFonts w:ascii="Arial" w:hAnsi="Arial" w:cs="Arial"/>
          <w:color w:val="000000"/>
          <w:sz w:val="22"/>
          <w:szCs w:val="22"/>
        </w:rPr>
        <w:t xml:space="preserve">. </w:t>
      </w:r>
      <w:r w:rsidR="00B21044" w:rsidRPr="008643F7">
        <w:rPr>
          <w:rFonts w:ascii="Arial" w:hAnsi="Arial" w:cs="Arial"/>
          <w:color w:val="000000"/>
          <w:sz w:val="22"/>
          <w:szCs w:val="22"/>
        </w:rPr>
        <w:t xml:space="preserve">Questo documento si </w:t>
      </w:r>
      <w:r w:rsidR="00EE6512" w:rsidRPr="008643F7">
        <w:rPr>
          <w:rFonts w:ascii="Arial" w:hAnsi="Arial" w:cs="Arial"/>
          <w:color w:val="000000"/>
          <w:sz w:val="22"/>
          <w:szCs w:val="22"/>
        </w:rPr>
        <w:t>pone l’obiettivo</w:t>
      </w:r>
      <w:r w:rsidRPr="008643F7">
        <w:rPr>
          <w:rFonts w:ascii="Arial" w:hAnsi="Arial" w:cs="Arial"/>
          <w:color w:val="000000"/>
          <w:sz w:val="22"/>
          <w:szCs w:val="22"/>
        </w:rPr>
        <w:t xml:space="preserve"> di individuare le </w:t>
      </w:r>
      <w:r w:rsidRPr="008643F7">
        <w:rPr>
          <w:rFonts w:ascii="Arial" w:hAnsi="Arial" w:cs="Arial"/>
          <w:b/>
          <w:bCs/>
          <w:color w:val="000000"/>
          <w:sz w:val="22"/>
          <w:szCs w:val="22"/>
        </w:rPr>
        <w:t>rettifiche al calcolo della PFN</w:t>
      </w:r>
      <w:r w:rsidRPr="008643F7">
        <w:rPr>
          <w:rFonts w:ascii="Arial" w:hAnsi="Arial" w:cs="Arial"/>
          <w:color w:val="000000"/>
          <w:sz w:val="22"/>
          <w:szCs w:val="22"/>
        </w:rPr>
        <w:t>, che nella prassi negoziale delle operazioni di M&amp;A costituiscono oggetto di discussione.</w:t>
      </w:r>
      <w:r w:rsidR="00324EF0" w:rsidRPr="008643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43F7">
        <w:rPr>
          <w:rFonts w:ascii="Arial" w:hAnsi="Arial" w:cs="Arial"/>
          <w:color w:val="000000"/>
          <w:sz w:val="22"/>
          <w:szCs w:val="22"/>
        </w:rPr>
        <w:t>In frequenti applicazioni in ambito finanziario</w:t>
      </w:r>
      <w:r w:rsidR="00524766">
        <w:rPr>
          <w:rFonts w:ascii="Arial" w:hAnsi="Arial" w:cs="Arial"/>
          <w:color w:val="000000"/>
          <w:sz w:val="22"/>
          <w:szCs w:val="22"/>
        </w:rPr>
        <w:t>,</w:t>
      </w:r>
      <w:r w:rsidRPr="008643F7">
        <w:rPr>
          <w:rFonts w:ascii="Arial" w:hAnsi="Arial" w:cs="Arial"/>
          <w:color w:val="000000"/>
          <w:sz w:val="22"/>
          <w:szCs w:val="22"/>
        </w:rPr>
        <w:t xml:space="preserve"> i due indicatori sono </w:t>
      </w:r>
      <w:r w:rsidRPr="008643F7">
        <w:rPr>
          <w:rFonts w:ascii="Arial" w:hAnsi="Arial" w:cs="Arial"/>
          <w:b/>
          <w:bCs/>
          <w:color w:val="000000"/>
          <w:sz w:val="22"/>
          <w:szCs w:val="22"/>
        </w:rPr>
        <w:t>impiegati congiuntamente</w:t>
      </w:r>
      <w:r w:rsidRPr="008643F7">
        <w:rPr>
          <w:rFonts w:ascii="Arial" w:hAnsi="Arial" w:cs="Arial"/>
          <w:color w:val="000000"/>
          <w:sz w:val="22"/>
          <w:szCs w:val="22"/>
        </w:rPr>
        <w:t xml:space="preserve"> per il calcolo di uno dei più comuni indici di </w:t>
      </w:r>
      <w:r w:rsidRPr="008643F7">
        <w:rPr>
          <w:rFonts w:ascii="Arial" w:hAnsi="Arial" w:cs="Arial"/>
          <w:b/>
          <w:bCs/>
          <w:color w:val="000000"/>
          <w:sz w:val="22"/>
          <w:szCs w:val="22"/>
        </w:rPr>
        <w:t>sostenibilità finanziaria</w:t>
      </w:r>
      <w:r w:rsidR="00EE6512" w:rsidRPr="008643F7">
        <w:rPr>
          <w:rFonts w:ascii="Arial" w:hAnsi="Arial" w:cs="Arial"/>
          <w:color w:val="000000"/>
          <w:sz w:val="22"/>
          <w:szCs w:val="22"/>
        </w:rPr>
        <w:t>.</w:t>
      </w:r>
      <w:r w:rsidRPr="008643F7">
        <w:rPr>
          <w:rFonts w:ascii="Arial" w:hAnsi="Arial" w:cs="Arial"/>
          <w:color w:val="000000"/>
          <w:sz w:val="22"/>
          <w:szCs w:val="22"/>
        </w:rPr>
        <w:t xml:space="preserve"> </w:t>
      </w:r>
      <w:r w:rsidR="00EE6512" w:rsidRPr="008643F7">
        <w:rPr>
          <w:rFonts w:ascii="Arial" w:hAnsi="Arial" w:cs="Arial"/>
          <w:color w:val="000000"/>
          <w:sz w:val="22"/>
          <w:szCs w:val="22"/>
        </w:rPr>
        <w:t>I</w:t>
      </w:r>
      <w:r w:rsidRPr="008643F7">
        <w:rPr>
          <w:rFonts w:ascii="Arial" w:hAnsi="Arial" w:cs="Arial"/>
          <w:color w:val="000000"/>
          <w:sz w:val="22"/>
          <w:szCs w:val="22"/>
        </w:rPr>
        <w:t xml:space="preserve">l rapporto PFN/Ebitda assume una significativa valenza per svariati utilizzi quali la misurazione del </w:t>
      </w:r>
      <w:r w:rsidRPr="008643F7">
        <w:rPr>
          <w:rFonts w:ascii="Arial" w:hAnsi="Arial" w:cs="Arial"/>
          <w:b/>
          <w:bCs/>
          <w:color w:val="000000"/>
          <w:sz w:val="22"/>
          <w:szCs w:val="22"/>
        </w:rPr>
        <w:t>merito creditizio</w:t>
      </w:r>
      <w:r w:rsidRPr="008643F7">
        <w:rPr>
          <w:rFonts w:ascii="Arial" w:hAnsi="Arial" w:cs="Arial"/>
          <w:color w:val="000000"/>
          <w:sz w:val="22"/>
          <w:szCs w:val="22"/>
        </w:rPr>
        <w:t xml:space="preserve"> e l’attribuzione di un </w:t>
      </w:r>
      <w:r w:rsidRPr="008643F7">
        <w:rPr>
          <w:rFonts w:ascii="Arial" w:hAnsi="Arial" w:cs="Arial"/>
          <w:b/>
          <w:bCs/>
          <w:i/>
          <w:color w:val="000000"/>
          <w:sz w:val="22"/>
          <w:szCs w:val="22"/>
        </w:rPr>
        <w:t>credit rating</w:t>
      </w:r>
      <w:r w:rsidRPr="008643F7">
        <w:rPr>
          <w:rFonts w:ascii="Arial" w:hAnsi="Arial" w:cs="Arial"/>
          <w:color w:val="000000"/>
          <w:sz w:val="22"/>
          <w:szCs w:val="22"/>
        </w:rPr>
        <w:t xml:space="preserve">, l’analisi della </w:t>
      </w:r>
      <w:r w:rsidRPr="008643F7">
        <w:rPr>
          <w:rFonts w:ascii="Arial" w:hAnsi="Arial" w:cs="Arial"/>
          <w:b/>
          <w:bCs/>
          <w:color w:val="000000"/>
          <w:sz w:val="22"/>
          <w:szCs w:val="22"/>
        </w:rPr>
        <w:t>performance finanziaria di periodo</w:t>
      </w:r>
      <w:r w:rsidRPr="008643F7">
        <w:rPr>
          <w:rFonts w:ascii="Arial" w:hAnsi="Arial" w:cs="Arial"/>
          <w:color w:val="000000"/>
          <w:sz w:val="22"/>
          <w:szCs w:val="22"/>
        </w:rPr>
        <w:t xml:space="preserve"> e la scrittura di specifiche </w:t>
      </w:r>
      <w:r w:rsidRPr="008643F7">
        <w:rPr>
          <w:rFonts w:ascii="Arial" w:hAnsi="Arial" w:cs="Arial"/>
          <w:b/>
          <w:bCs/>
          <w:color w:val="000000"/>
          <w:sz w:val="22"/>
          <w:szCs w:val="22"/>
        </w:rPr>
        <w:t>clausole di disciplina finanziari</w:t>
      </w:r>
      <w:r w:rsidR="00EE6512" w:rsidRPr="008643F7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8643F7">
        <w:rPr>
          <w:rFonts w:ascii="Arial" w:hAnsi="Arial" w:cs="Arial"/>
          <w:color w:val="000000"/>
          <w:sz w:val="22"/>
          <w:szCs w:val="22"/>
        </w:rPr>
        <w:t xml:space="preserve"> nei contratti di finanziamento (c.d. </w:t>
      </w:r>
      <w:r w:rsidRPr="008643F7">
        <w:rPr>
          <w:rFonts w:ascii="Arial" w:hAnsi="Arial" w:cs="Arial"/>
          <w:i/>
          <w:color w:val="000000"/>
          <w:sz w:val="22"/>
          <w:szCs w:val="22"/>
        </w:rPr>
        <w:t>covenants</w:t>
      </w:r>
      <w:r w:rsidRPr="008643F7">
        <w:rPr>
          <w:rFonts w:ascii="Arial" w:hAnsi="Arial" w:cs="Arial"/>
          <w:color w:val="000000"/>
          <w:sz w:val="22"/>
          <w:szCs w:val="22"/>
        </w:rPr>
        <w:t>)</w:t>
      </w:r>
      <w:r w:rsidR="00324EF0" w:rsidRPr="008643F7">
        <w:rPr>
          <w:rFonts w:ascii="Arial" w:hAnsi="Arial" w:cs="Arial"/>
          <w:color w:val="000000"/>
          <w:sz w:val="22"/>
          <w:szCs w:val="22"/>
        </w:rPr>
        <w:t>”</w:t>
      </w:r>
      <w:r w:rsidRPr="008643F7">
        <w:rPr>
          <w:rFonts w:ascii="Arial" w:hAnsi="Arial" w:cs="Arial"/>
          <w:color w:val="000000"/>
          <w:sz w:val="22"/>
          <w:szCs w:val="22"/>
        </w:rPr>
        <w:t>.</w:t>
      </w:r>
    </w:p>
    <w:p w14:paraId="796CCD43" w14:textId="77777777" w:rsidR="008643F7" w:rsidRPr="008643F7" w:rsidRDefault="008643F7" w:rsidP="008643F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D91DB1" w14:textId="4C5671DE" w:rsidR="00A0105F" w:rsidRPr="008643F7" w:rsidRDefault="00A0105F" w:rsidP="008643F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643F7">
        <w:rPr>
          <w:rFonts w:ascii="Arial" w:hAnsi="Arial" w:cs="Arial"/>
          <w:color w:val="000000"/>
          <w:sz w:val="22"/>
          <w:szCs w:val="22"/>
        </w:rPr>
        <w:t xml:space="preserve">Nella parte conclusiva del documento sono inoltre riportate alcune </w:t>
      </w:r>
      <w:r w:rsidRPr="008643F7">
        <w:rPr>
          <w:rFonts w:ascii="Arial" w:hAnsi="Arial" w:cs="Arial"/>
          <w:b/>
          <w:bCs/>
          <w:color w:val="000000"/>
          <w:sz w:val="22"/>
          <w:szCs w:val="22"/>
        </w:rPr>
        <w:t>esemplificazioni pratiche</w:t>
      </w:r>
      <w:r w:rsidRPr="008643F7">
        <w:rPr>
          <w:rFonts w:ascii="Arial" w:hAnsi="Arial" w:cs="Arial"/>
          <w:color w:val="000000"/>
          <w:sz w:val="22"/>
          <w:szCs w:val="22"/>
        </w:rPr>
        <w:t xml:space="preserve"> al fine di un migliore comprensione dei concetti e degli intendimenti espressi.</w:t>
      </w:r>
    </w:p>
    <w:p w14:paraId="1BCF5824" w14:textId="6C948B0E" w:rsidR="0074354C" w:rsidRPr="00A0105F" w:rsidRDefault="00A0105F" w:rsidP="0074354C">
      <w:pPr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 xml:space="preserve"> </w:t>
      </w:r>
    </w:p>
    <w:sectPr w:rsidR="0074354C" w:rsidRPr="00A0105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8085" w14:textId="77777777" w:rsidR="002A45CA" w:rsidRDefault="002A45CA" w:rsidP="0053767A">
      <w:r>
        <w:separator/>
      </w:r>
    </w:p>
  </w:endnote>
  <w:endnote w:type="continuationSeparator" w:id="0">
    <w:p w14:paraId="111BEEBA" w14:textId="77777777" w:rsidR="002A45CA" w:rsidRDefault="002A45CA" w:rsidP="0053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D872" w14:textId="77777777" w:rsidR="002A45CA" w:rsidRDefault="002A45CA" w:rsidP="0053767A">
      <w:r>
        <w:separator/>
      </w:r>
    </w:p>
  </w:footnote>
  <w:footnote w:type="continuationSeparator" w:id="0">
    <w:p w14:paraId="45213D97" w14:textId="77777777" w:rsidR="002A45CA" w:rsidRDefault="002A45CA" w:rsidP="0053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F04" w14:textId="137E3C70" w:rsidR="0053767A" w:rsidRDefault="0053767A" w:rsidP="0053767A">
    <w:pPr>
      <w:pStyle w:val="Intestazione"/>
      <w:jc w:val="center"/>
    </w:pPr>
    <w:r>
      <w:rPr>
        <w:noProof/>
      </w:rPr>
      <w:drawing>
        <wp:inline distT="0" distB="0" distL="0" distR="0" wp14:anchorId="6CE15400" wp14:editId="1B607080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D7"/>
    <w:rsid w:val="00094E35"/>
    <w:rsid w:val="000D7EE9"/>
    <w:rsid w:val="002A45CA"/>
    <w:rsid w:val="002C046C"/>
    <w:rsid w:val="00324EF0"/>
    <w:rsid w:val="00402D0F"/>
    <w:rsid w:val="00524766"/>
    <w:rsid w:val="0053767A"/>
    <w:rsid w:val="00553922"/>
    <w:rsid w:val="00600F24"/>
    <w:rsid w:val="00673359"/>
    <w:rsid w:val="006B3E6A"/>
    <w:rsid w:val="00725CA0"/>
    <w:rsid w:val="0074354C"/>
    <w:rsid w:val="00801280"/>
    <w:rsid w:val="0081776A"/>
    <w:rsid w:val="0082070C"/>
    <w:rsid w:val="0084198B"/>
    <w:rsid w:val="008643F7"/>
    <w:rsid w:val="008B0AD7"/>
    <w:rsid w:val="008D251E"/>
    <w:rsid w:val="009657C6"/>
    <w:rsid w:val="00977FE6"/>
    <w:rsid w:val="00A0105F"/>
    <w:rsid w:val="00B21044"/>
    <w:rsid w:val="00B63700"/>
    <w:rsid w:val="00E730CE"/>
    <w:rsid w:val="00EE6512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167"/>
  <w15:chartTrackingRefBased/>
  <w15:docId w15:val="{E736ABF5-AE2F-45F8-A7AE-AFAF391E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A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B0AD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AD7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105F"/>
    <w:pPr>
      <w:jc w:val="both"/>
    </w:pPr>
    <w:rPr>
      <w:rFonts w:asciiTheme="minorHAnsi" w:eastAsiaTheme="minorEastAsia" w:hAnsiTheme="minorHAnsi" w:cstheme="minorBidi"/>
      <w:color w:val="595959" w:themeColor="text1" w:themeTint="A6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105F"/>
    <w:rPr>
      <w:rFonts w:eastAsiaTheme="minorEastAsia"/>
      <w:color w:val="595959" w:themeColor="text1" w:themeTint="A6"/>
      <w:kern w:val="0"/>
      <w:sz w:val="20"/>
      <w:szCs w:val="20"/>
      <w14:ligatures w14:val="none"/>
    </w:rPr>
  </w:style>
  <w:style w:type="character" w:styleId="Rimandonotaapidipagina">
    <w:name w:val="footnote reference"/>
    <w:aliases w:val="Rimando nota a piè di pagina 2"/>
    <w:uiPriority w:val="99"/>
    <w:unhideWhenUsed/>
    <w:rsid w:val="00A01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4</cp:revision>
  <dcterms:created xsi:type="dcterms:W3CDTF">2024-03-14T18:09:00Z</dcterms:created>
  <dcterms:modified xsi:type="dcterms:W3CDTF">2024-03-15T07:38:00Z</dcterms:modified>
</cp:coreProperties>
</file>