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E57E" w14:textId="3C0D265C" w:rsidR="009A3EB5" w:rsidRDefault="009A3EB5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14743328"/>
      <w:r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F85699E" w14:textId="70DE5B93" w:rsidR="000B3F7C" w:rsidRDefault="000B3F7C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DD5DAAA" w14:textId="5E1A6CD9" w:rsidR="008D3DB8" w:rsidRPr="000B3F7C" w:rsidRDefault="000B3F7C" w:rsidP="000B3F7C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B3F7C">
        <w:rPr>
          <w:rFonts w:ascii="Arial" w:hAnsi="Arial" w:cs="Arial"/>
          <w:b/>
          <w:bCs/>
          <w:color w:val="000000"/>
          <w:sz w:val="24"/>
          <w:szCs w:val="24"/>
        </w:rPr>
        <w:t>COMMERCIALISTI: “CORREGGERE IL SUPERBONUS, MA RENDERLO STRUTTURALE”</w:t>
      </w:r>
    </w:p>
    <w:p w14:paraId="4E98035E" w14:textId="38C60CAF" w:rsidR="000B3F7C" w:rsidRPr="000B3F7C" w:rsidRDefault="000B3F7C" w:rsidP="000B3F7C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62F240" w14:textId="3B86D729" w:rsidR="000B3F7C" w:rsidRPr="008465FC" w:rsidRDefault="000B3F7C" w:rsidP="000B3F7C">
      <w:pPr>
        <w:pStyle w:val="xmsonormal0"/>
        <w:shd w:val="clear" w:color="auto" w:fill="FFFFFF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8465FC">
        <w:rPr>
          <w:rFonts w:ascii="Arial" w:eastAsia="Calibri" w:hAnsi="Arial" w:cs="Arial"/>
          <w:b/>
          <w:bCs/>
          <w:sz w:val="24"/>
          <w:szCs w:val="24"/>
        </w:rPr>
        <w:t>De Nuccio: “</w:t>
      </w:r>
      <w:r w:rsidR="008465FC" w:rsidRPr="008465FC">
        <w:rPr>
          <w:rFonts w:ascii="Arial" w:eastAsia="Calibri" w:hAnsi="Arial" w:cs="Arial"/>
          <w:b/>
          <w:bCs/>
          <w:sz w:val="24"/>
          <w:szCs w:val="24"/>
        </w:rPr>
        <w:t xml:space="preserve">Con l’approvazione della direttiva europea sull’efficienza energetica degli edifici inevitabile pensare a </w:t>
      </w:r>
      <w:r w:rsidR="008465FC">
        <w:rPr>
          <w:rFonts w:ascii="Arial" w:eastAsia="Calibri" w:hAnsi="Arial" w:cs="Arial"/>
          <w:b/>
          <w:bCs/>
          <w:sz w:val="24"/>
          <w:szCs w:val="24"/>
        </w:rPr>
        <w:t xml:space="preserve">nuovi </w:t>
      </w:r>
      <w:r w:rsidR="008465FC" w:rsidRPr="008465FC">
        <w:rPr>
          <w:rFonts w:ascii="Arial" w:eastAsia="Calibri" w:hAnsi="Arial" w:cs="Arial"/>
          <w:b/>
          <w:bCs/>
          <w:sz w:val="24"/>
          <w:szCs w:val="24"/>
        </w:rPr>
        <w:t>meccanismi di incentivi, ma devono essere stabili e sostenibili</w:t>
      </w:r>
      <w:r w:rsidR="008465FC">
        <w:rPr>
          <w:rFonts w:ascii="Arial" w:eastAsia="Calibri" w:hAnsi="Arial" w:cs="Arial"/>
          <w:b/>
          <w:bCs/>
          <w:sz w:val="24"/>
          <w:szCs w:val="24"/>
        </w:rPr>
        <w:t xml:space="preserve"> e non possono essere riconosciuti a tutti</w:t>
      </w:r>
      <w:r w:rsidR="008465FC" w:rsidRPr="008465FC">
        <w:rPr>
          <w:rFonts w:ascii="Arial" w:eastAsia="Calibri" w:hAnsi="Arial" w:cs="Arial"/>
          <w:b/>
          <w:bCs/>
          <w:sz w:val="24"/>
          <w:szCs w:val="24"/>
        </w:rPr>
        <w:t>”</w:t>
      </w:r>
    </w:p>
    <w:p w14:paraId="7E2F4058" w14:textId="75C47244" w:rsidR="000B3F7C" w:rsidRPr="008465FC" w:rsidRDefault="000B3F7C" w:rsidP="000B3F7C">
      <w:pPr>
        <w:pStyle w:val="xmsonormal0"/>
        <w:shd w:val="clear" w:color="auto" w:fill="FFFFFF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62CE092" w14:textId="14F47A8E" w:rsidR="008D3DB8" w:rsidRPr="008465FC" w:rsidRDefault="008465FC" w:rsidP="008D3DB8">
      <w:pPr>
        <w:autoSpaceDE w:val="0"/>
        <w:autoSpaceDN w:val="0"/>
        <w:adjustRightInd w:val="0"/>
        <w:jc w:val="both"/>
        <w:rPr>
          <w:rStyle w:val="xcontentpasted0"/>
          <w:rFonts w:ascii="Arial" w:eastAsia="Calibri" w:hAnsi="Arial" w:cs="Arial"/>
          <w:sz w:val="24"/>
          <w:szCs w:val="24"/>
        </w:rPr>
      </w:pPr>
      <w:r w:rsidRPr="008465FC">
        <w:rPr>
          <w:rFonts w:ascii="Arial" w:eastAsia="Calibri" w:hAnsi="Arial" w:cs="Arial"/>
          <w:i/>
          <w:iCs/>
          <w:sz w:val="24"/>
          <w:szCs w:val="24"/>
        </w:rPr>
        <w:t xml:space="preserve">Roma, 15 marzo 2023 </w:t>
      </w:r>
      <w:r w:rsidR="005B5A69">
        <w:rPr>
          <w:rFonts w:ascii="Arial" w:eastAsia="Calibri" w:hAnsi="Arial" w:cs="Arial"/>
          <w:i/>
          <w:iCs/>
          <w:sz w:val="24"/>
          <w:szCs w:val="24"/>
        </w:rPr>
        <w:t xml:space="preserve">– </w:t>
      </w:r>
      <w:r w:rsidR="008D3DB8" w:rsidRPr="008465FC">
        <w:rPr>
          <w:rFonts w:ascii="Arial" w:eastAsia="Calibri" w:hAnsi="Arial" w:cs="Arial"/>
          <w:sz w:val="24"/>
          <w:szCs w:val="24"/>
        </w:rPr>
        <w:t xml:space="preserve">“La partita più importante da giocare per i bonus edilizi è certamente quella che riguarda il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futuro da costruire</w:t>
      </w:r>
      <w:r w:rsidR="008D3DB8" w:rsidRPr="008465FC">
        <w:rPr>
          <w:rFonts w:ascii="Arial" w:eastAsia="Calibri" w:hAnsi="Arial" w:cs="Arial"/>
          <w:sz w:val="24"/>
          <w:szCs w:val="24"/>
        </w:rPr>
        <w:t xml:space="preserve">. Si tratta di valutare come riaccendere le macchine, cercando il necessario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bilanciamento dei tanti interessi in gioco</w:t>
      </w:r>
      <w:r w:rsidR="008D3DB8" w:rsidRPr="008465FC">
        <w:rPr>
          <w:rFonts w:ascii="Arial" w:eastAsia="Calibri" w:hAnsi="Arial" w:cs="Arial"/>
          <w:sz w:val="24"/>
          <w:szCs w:val="24"/>
        </w:rPr>
        <w:t>, ossia quelli di Stato, enti locali, contribuenti, imprese del settore dell’edilizia, sistema bancario e professionisti coinvolti.</w:t>
      </w:r>
      <w:r w:rsidR="000B3F7C" w:rsidRPr="008465FC">
        <w:rPr>
          <w:rFonts w:ascii="Arial" w:eastAsia="Calibri" w:hAnsi="Arial" w:cs="Arial"/>
          <w:sz w:val="24"/>
          <w:szCs w:val="24"/>
        </w:rPr>
        <w:t xml:space="preserve"> </w:t>
      </w:r>
      <w:r w:rsidR="008D3DB8" w:rsidRPr="008465FC">
        <w:rPr>
          <w:rFonts w:ascii="Arial" w:eastAsia="Calibri" w:hAnsi="Arial" w:cs="Arial"/>
          <w:sz w:val="24"/>
          <w:szCs w:val="24"/>
        </w:rPr>
        <w:t xml:space="preserve">L’obiettivo deve essere, senza dubbio, quello di rendere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 xml:space="preserve">strutturale il superbonus </w:t>
      </w:r>
      <w:r w:rsidR="008D3DB8" w:rsidRPr="008465FC">
        <w:rPr>
          <w:rFonts w:ascii="Arial" w:eastAsia="Calibri" w:hAnsi="Arial" w:cs="Arial"/>
          <w:sz w:val="24"/>
          <w:szCs w:val="24"/>
        </w:rPr>
        <w:t xml:space="preserve">e le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opzioni per la cessione e lo sconto in fattura</w:t>
      </w:r>
      <w:r w:rsidR="008D3DB8" w:rsidRPr="008465FC">
        <w:rPr>
          <w:rFonts w:ascii="Arial" w:eastAsia="Calibri" w:hAnsi="Arial" w:cs="Arial"/>
          <w:sz w:val="24"/>
          <w:szCs w:val="24"/>
        </w:rPr>
        <w:t xml:space="preserve">, nella consapevolezza che tutto ciò ha un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costo</w:t>
      </w:r>
      <w:r w:rsidR="008D3DB8" w:rsidRPr="008465FC">
        <w:rPr>
          <w:rFonts w:ascii="Arial" w:eastAsia="Calibri" w:hAnsi="Arial" w:cs="Arial"/>
          <w:sz w:val="24"/>
          <w:szCs w:val="24"/>
        </w:rPr>
        <w:t xml:space="preserve"> che graverà sulle spalle di tutti i nostri figli e nipoti e che pertanto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non può essere riconosciuto a tutti</w:t>
      </w:r>
      <w:r w:rsidR="008D3DB8" w:rsidRPr="008465FC">
        <w:rPr>
          <w:rFonts w:ascii="Arial" w:eastAsia="Calibri" w:hAnsi="Arial" w:cs="Arial"/>
          <w:sz w:val="24"/>
          <w:szCs w:val="24"/>
        </w:rPr>
        <w:t xml:space="preserve">, indistintamente e senza condizion”. </w:t>
      </w:r>
      <w:r w:rsidRPr="008465FC">
        <w:rPr>
          <w:rFonts w:ascii="Arial" w:eastAsia="Calibri" w:hAnsi="Arial" w:cs="Arial"/>
          <w:sz w:val="24"/>
          <w:szCs w:val="24"/>
        </w:rPr>
        <w:t>È</w:t>
      </w:r>
      <w:r w:rsidR="008D3DB8" w:rsidRPr="008465FC">
        <w:rPr>
          <w:rFonts w:ascii="Arial" w:eastAsia="Calibri" w:hAnsi="Arial" w:cs="Arial"/>
          <w:sz w:val="24"/>
          <w:szCs w:val="24"/>
        </w:rPr>
        <w:t xml:space="preserve"> uno dei passaggi </w:t>
      </w:r>
      <w:r w:rsidR="000B3F7C" w:rsidRPr="008465FC">
        <w:rPr>
          <w:rFonts w:ascii="Arial" w:eastAsia="Calibri" w:hAnsi="Arial" w:cs="Arial"/>
          <w:sz w:val="24"/>
          <w:szCs w:val="24"/>
        </w:rPr>
        <w:t xml:space="preserve">del discorso </w:t>
      </w:r>
      <w:r w:rsidR="008D3DB8" w:rsidRPr="008465FC">
        <w:rPr>
          <w:rFonts w:ascii="Arial" w:eastAsia="Calibri" w:hAnsi="Arial" w:cs="Arial"/>
          <w:sz w:val="24"/>
          <w:szCs w:val="24"/>
        </w:rPr>
        <w:t xml:space="preserve">del presidente del Consiglio nazionale dei commercialisti,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Elbano de Nuccio</w:t>
      </w:r>
      <w:r w:rsidR="008D3DB8" w:rsidRPr="008465FC">
        <w:rPr>
          <w:rFonts w:ascii="Arial" w:eastAsia="Calibri" w:hAnsi="Arial" w:cs="Arial"/>
          <w:sz w:val="24"/>
          <w:szCs w:val="24"/>
        </w:rPr>
        <w:t xml:space="preserve">, </w:t>
      </w:r>
      <w:r w:rsidR="000B3F7C" w:rsidRPr="008465FC">
        <w:rPr>
          <w:rFonts w:ascii="Arial" w:eastAsia="Calibri" w:hAnsi="Arial" w:cs="Arial"/>
          <w:sz w:val="24"/>
          <w:szCs w:val="24"/>
        </w:rPr>
        <w:t xml:space="preserve">al convegno </w:t>
      </w:r>
      <w:r w:rsidR="000B3F7C" w:rsidRPr="008465FC">
        <w:rPr>
          <w:rStyle w:val="xcontentpasted0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“I bonus edilizi e le opzioni di sconto e cessione”, in corso di svolgimento a Roma</w:t>
      </w:r>
      <w:r w:rsidR="000B3F7C" w:rsidRPr="008465FC">
        <w:rPr>
          <w:rStyle w:val="x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5A1D5C50" w14:textId="77777777" w:rsidR="000B3F7C" w:rsidRDefault="000B3F7C" w:rsidP="008D3DB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51FE13C5" w14:textId="58A7DE27" w:rsidR="008D3DB8" w:rsidRDefault="000B3F7C" w:rsidP="008D3DB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</w:t>
      </w:r>
      <w:r w:rsidR="003E4FCB">
        <w:rPr>
          <w:rFonts w:ascii="Arial" w:eastAsia="Calibri" w:hAnsi="Arial" w:cs="Arial"/>
          <w:sz w:val="24"/>
          <w:szCs w:val="24"/>
        </w:rPr>
        <w:t>La</w:t>
      </w:r>
      <w:r w:rsidR="008D3DB8">
        <w:rPr>
          <w:rFonts w:ascii="Arial" w:eastAsia="Calibri" w:hAnsi="Arial" w:cs="Arial"/>
          <w:sz w:val="24"/>
          <w:szCs w:val="24"/>
        </w:rPr>
        <w:t xml:space="preserve"> </w:t>
      </w:r>
      <w:r w:rsidR="008D3DB8" w:rsidRPr="00E53738">
        <w:rPr>
          <w:rFonts w:ascii="Arial" w:eastAsia="Calibri" w:hAnsi="Arial" w:cs="Arial"/>
          <w:sz w:val="24"/>
          <w:szCs w:val="24"/>
        </w:rPr>
        <w:t>maggiore stabilità dell’agevolazione</w:t>
      </w:r>
      <w:r w:rsidR="008D3DB8">
        <w:rPr>
          <w:rFonts w:ascii="Arial" w:eastAsia="Calibri" w:hAnsi="Arial" w:cs="Arial"/>
          <w:sz w:val="24"/>
          <w:szCs w:val="24"/>
        </w:rPr>
        <w:t xml:space="preserve"> </w:t>
      </w:r>
      <w:r w:rsidR="003E4FCB">
        <w:rPr>
          <w:rFonts w:ascii="Arial" w:eastAsia="Calibri" w:hAnsi="Arial" w:cs="Arial"/>
          <w:sz w:val="24"/>
          <w:szCs w:val="24"/>
        </w:rPr>
        <w:t xml:space="preserve">– ha aggiunto </w:t>
      </w:r>
      <w:r w:rsidR="005B5A69">
        <w:rPr>
          <w:rFonts w:ascii="Arial" w:eastAsia="Calibri" w:hAnsi="Arial" w:cs="Arial"/>
          <w:sz w:val="24"/>
          <w:szCs w:val="24"/>
        </w:rPr>
        <w:t>–</w:t>
      </w:r>
      <w:r w:rsidR="003E4FCB">
        <w:rPr>
          <w:rFonts w:ascii="Arial" w:eastAsia="Calibri" w:hAnsi="Arial" w:cs="Arial"/>
          <w:sz w:val="24"/>
          <w:szCs w:val="24"/>
        </w:rPr>
        <w:t xml:space="preserve"> </w:t>
      </w:r>
      <w:r w:rsidR="008D3DB8">
        <w:rPr>
          <w:rFonts w:ascii="Arial" w:eastAsia="Calibri" w:hAnsi="Arial" w:cs="Arial"/>
          <w:sz w:val="24"/>
          <w:szCs w:val="24"/>
        </w:rPr>
        <w:t xml:space="preserve">deve passare comunque anche per una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 xml:space="preserve">selezione più puntuale degli interventi agevolati con la </w:t>
      </w:r>
      <w:r w:rsidRPr="008465FC">
        <w:rPr>
          <w:rFonts w:ascii="Arial" w:eastAsia="Calibri" w:hAnsi="Arial" w:cs="Arial"/>
          <w:b/>
          <w:bCs/>
          <w:sz w:val="24"/>
          <w:szCs w:val="24"/>
        </w:rPr>
        <w:t>maxi-aliquota</w:t>
      </w:r>
      <w:r w:rsidR="008D3DB8">
        <w:rPr>
          <w:rFonts w:ascii="Arial" w:eastAsia="Calibri" w:hAnsi="Arial" w:cs="Arial"/>
          <w:sz w:val="24"/>
          <w:szCs w:val="24"/>
        </w:rPr>
        <w:t xml:space="preserve"> e con la facoltà di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opzione per sconto e cessione</w:t>
      </w:r>
      <w:r w:rsidR="008D3DB8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8D3DB8">
        <w:rPr>
          <w:rFonts w:ascii="Arial" w:eastAsia="Calibri" w:hAnsi="Arial" w:cs="Arial"/>
          <w:sz w:val="24"/>
          <w:szCs w:val="24"/>
        </w:rPr>
        <w:t xml:space="preserve">Si potrebbe partire dalla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 xml:space="preserve">salvaguardia per </w:t>
      </w:r>
      <w:proofErr w:type="spellStart"/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sismabonus</w:t>
      </w:r>
      <w:proofErr w:type="spellEnd"/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, aree terremotate, Terzo settore e IACP</w:t>
      </w:r>
      <w:r>
        <w:rPr>
          <w:rFonts w:ascii="Arial" w:eastAsia="Calibri" w:hAnsi="Arial" w:cs="Arial"/>
          <w:sz w:val="24"/>
          <w:szCs w:val="24"/>
        </w:rPr>
        <w:t>”</w:t>
      </w:r>
      <w:r w:rsidR="008D3DB8">
        <w:rPr>
          <w:rFonts w:ascii="Arial" w:eastAsia="Calibri" w:hAnsi="Arial" w:cs="Arial"/>
          <w:sz w:val="24"/>
          <w:szCs w:val="24"/>
        </w:rPr>
        <w:t>.</w:t>
      </w:r>
    </w:p>
    <w:p w14:paraId="619CF72C" w14:textId="77777777" w:rsidR="000B3F7C" w:rsidRDefault="000B3F7C" w:rsidP="008D3DB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CB8EA09" w14:textId="0C753275" w:rsidR="000B3F7C" w:rsidRDefault="000B3F7C" w:rsidP="000B3F7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“L’approvazione </w:t>
      </w:r>
      <w:r w:rsidR="008D3DB8">
        <w:rPr>
          <w:rFonts w:ascii="Arial" w:eastAsia="Calibri" w:hAnsi="Arial" w:cs="Arial"/>
          <w:sz w:val="24"/>
          <w:szCs w:val="24"/>
        </w:rPr>
        <w:t>d</w:t>
      </w:r>
      <w:r>
        <w:rPr>
          <w:rFonts w:ascii="Arial" w:eastAsia="Calibri" w:hAnsi="Arial" w:cs="Arial"/>
          <w:sz w:val="24"/>
          <w:szCs w:val="24"/>
        </w:rPr>
        <w:t>a parte del</w:t>
      </w:r>
      <w:r w:rsidR="008D3DB8" w:rsidRPr="00437A10">
        <w:rPr>
          <w:rFonts w:ascii="Arial" w:eastAsia="Calibri" w:hAnsi="Arial" w:cs="Arial"/>
          <w:sz w:val="24"/>
          <w:szCs w:val="24"/>
        </w:rPr>
        <w:t xml:space="preserve">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Parlamento europeo</w:t>
      </w:r>
      <w:r w:rsidR="008D3DB8" w:rsidRPr="00437A1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del</w:t>
      </w:r>
      <w:r w:rsidR="008D3DB8">
        <w:rPr>
          <w:rFonts w:ascii="Arial" w:eastAsia="Calibri" w:hAnsi="Arial" w:cs="Arial"/>
          <w:sz w:val="24"/>
          <w:szCs w:val="24"/>
        </w:rPr>
        <w:t xml:space="preserve">la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direttiva Ue per l’efficienza energetica degli edifici</w:t>
      </w:r>
      <w:r w:rsidR="00B468F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468F8" w:rsidRPr="003E4FCB">
        <w:rPr>
          <w:rFonts w:ascii="Arial" w:eastAsia="Calibri" w:hAnsi="Arial" w:cs="Arial"/>
          <w:sz w:val="24"/>
          <w:szCs w:val="24"/>
        </w:rPr>
        <w:t xml:space="preserve">– ha </w:t>
      </w:r>
      <w:r w:rsidR="003E4FCB" w:rsidRPr="003E4FCB">
        <w:rPr>
          <w:rFonts w:ascii="Arial" w:eastAsia="Calibri" w:hAnsi="Arial" w:cs="Arial"/>
          <w:sz w:val="24"/>
          <w:szCs w:val="24"/>
        </w:rPr>
        <w:t xml:space="preserve">affermato il </w:t>
      </w:r>
      <w:r w:rsidR="005B5A69">
        <w:rPr>
          <w:rFonts w:ascii="Arial" w:eastAsia="Calibri" w:hAnsi="Arial" w:cs="Arial"/>
          <w:sz w:val="24"/>
          <w:szCs w:val="24"/>
        </w:rPr>
        <w:t>C</w:t>
      </w:r>
      <w:r w:rsidR="003E4FCB" w:rsidRPr="003E4FCB">
        <w:rPr>
          <w:rFonts w:ascii="Arial" w:eastAsia="Calibri" w:hAnsi="Arial" w:cs="Arial"/>
          <w:sz w:val="24"/>
          <w:szCs w:val="24"/>
        </w:rPr>
        <w:t xml:space="preserve">onsigliere nazionale e </w:t>
      </w:r>
      <w:r w:rsidR="005B5A69">
        <w:rPr>
          <w:rFonts w:ascii="Arial" w:eastAsia="Calibri" w:hAnsi="Arial" w:cs="Arial"/>
          <w:sz w:val="24"/>
          <w:szCs w:val="24"/>
        </w:rPr>
        <w:t>tesoriere</w:t>
      </w:r>
      <w:r w:rsidR="003E4FCB" w:rsidRPr="003E4FCB">
        <w:rPr>
          <w:rFonts w:ascii="Arial" w:eastAsia="Calibri" w:hAnsi="Arial" w:cs="Arial"/>
          <w:sz w:val="24"/>
          <w:szCs w:val="24"/>
        </w:rPr>
        <w:t xml:space="preserve"> dei commercialisti,</w:t>
      </w:r>
      <w:r w:rsidR="003E4FCB" w:rsidRPr="003E4FCB">
        <w:rPr>
          <w:rFonts w:ascii="Arial" w:eastAsia="Calibri" w:hAnsi="Arial" w:cs="Arial"/>
          <w:b/>
          <w:bCs/>
          <w:sz w:val="24"/>
          <w:szCs w:val="24"/>
        </w:rPr>
        <w:t xml:space="preserve"> Salvatore</w:t>
      </w:r>
      <w:r w:rsidR="003E4FCB">
        <w:rPr>
          <w:rFonts w:ascii="Arial" w:eastAsia="Calibri" w:hAnsi="Arial" w:cs="Arial"/>
          <w:b/>
          <w:bCs/>
          <w:sz w:val="24"/>
          <w:szCs w:val="24"/>
        </w:rPr>
        <w:t xml:space="preserve"> Regalbuto</w:t>
      </w:r>
      <w:r w:rsidR="003E4FCB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 xml:space="preserve">è un dato </w:t>
      </w:r>
      <w:r w:rsidR="008465FC">
        <w:rPr>
          <w:rFonts w:ascii="Arial" w:eastAsia="Calibri" w:hAnsi="Arial" w:cs="Arial"/>
          <w:sz w:val="24"/>
          <w:szCs w:val="24"/>
        </w:rPr>
        <w:t>di cui</w:t>
      </w:r>
      <w:r>
        <w:rPr>
          <w:rFonts w:ascii="Arial" w:eastAsia="Calibri" w:hAnsi="Arial" w:cs="Arial"/>
          <w:sz w:val="24"/>
          <w:szCs w:val="24"/>
        </w:rPr>
        <w:t xml:space="preserve"> ovviamente bisognerà tener conto. Il</w:t>
      </w:r>
      <w:r w:rsidR="008D3DB8" w:rsidRPr="00B20F1B">
        <w:rPr>
          <w:rFonts w:ascii="Arial" w:eastAsia="Calibri" w:hAnsi="Arial" w:cs="Arial"/>
          <w:sz w:val="24"/>
          <w:szCs w:val="24"/>
        </w:rPr>
        <w:t xml:space="preserve"> patrimonio edilizio italiano è particolarmente inefficiente e vetusto</w:t>
      </w:r>
      <w:r w:rsidR="00B468F8">
        <w:rPr>
          <w:rFonts w:ascii="Arial" w:eastAsia="Calibri" w:hAnsi="Arial" w:cs="Arial"/>
          <w:sz w:val="24"/>
          <w:szCs w:val="24"/>
        </w:rPr>
        <w:t xml:space="preserve"> e in larga parte storico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8D3DB8" w:rsidRPr="005323D7">
        <w:rPr>
          <w:rFonts w:ascii="Arial" w:eastAsia="Calibri" w:hAnsi="Arial" w:cs="Arial"/>
          <w:sz w:val="24"/>
          <w:szCs w:val="24"/>
        </w:rPr>
        <w:t xml:space="preserve">Si possono discutere gli obiettivi, gli strumenti e i criteri proposti a livello europeo, ma non la necessità di definire una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traiettoria di medio-lungo termine</w:t>
      </w:r>
      <w:r w:rsidR="008D3DB8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8D3DB8" w:rsidRPr="005323D7">
        <w:rPr>
          <w:rFonts w:ascii="Arial" w:eastAsia="Calibri" w:hAnsi="Arial" w:cs="Arial"/>
          <w:sz w:val="24"/>
          <w:szCs w:val="24"/>
        </w:rPr>
        <w:t xml:space="preserve">Essa costituisce requisito essenziale per rimettere ordine a un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sistema di incentivi troppo eterogeneo</w:t>
      </w:r>
      <w:r w:rsidR="008D3DB8" w:rsidRPr="005323D7">
        <w:rPr>
          <w:rFonts w:ascii="Arial" w:eastAsia="Calibri" w:hAnsi="Arial" w:cs="Arial"/>
          <w:sz w:val="24"/>
          <w:szCs w:val="24"/>
        </w:rPr>
        <w:t xml:space="preserve"> che soffre di instabilità temporale, moltiplicazione e frammentazion</w:t>
      </w:r>
      <w:r w:rsidR="008D3DB8">
        <w:rPr>
          <w:rFonts w:ascii="Arial" w:eastAsia="Calibri" w:hAnsi="Arial" w:cs="Arial"/>
          <w:sz w:val="24"/>
          <w:szCs w:val="24"/>
        </w:rPr>
        <w:t>e normativa e debole efficacia.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8D3DB8" w:rsidRPr="005323D7">
        <w:rPr>
          <w:rFonts w:ascii="Arial" w:eastAsia="Calibri" w:hAnsi="Arial" w:cs="Arial"/>
          <w:sz w:val="24"/>
          <w:szCs w:val="24"/>
        </w:rPr>
        <w:t xml:space="preserve">Ed è proprio di questa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semplicità, stabilità e sicurezza normativa</w:t>
      </w:r>
      <w:r w:rsidR="008D3DB8" w:rsidRPr="005323D7">
        <w:rPr>
          <w:rFonts w:ascii="Arial" w:eastAsia="Calibri" w:hAnsi="Arial" w:cs="Arial"/>
          <w:sz w:val="24"/>
          <w:szCs w:val="24"/>
        </w:rPr>
        <w:t xml:space="preserve"> che hanno bisogno cittadini, imprese e investitori per rende</w:t>
      </w:r>
      <w:r w:rsidR="008D3DB8">
        <w:rPr>
          <w:rFonts w:ascii="Arial" w:eastAsia="Calibri" w:hAnsi="Arial" w:cs="Arial"/>
          <w:sz w:val="24"/>
          <w:szCs w:val="24"/>
        </w:rPr>
        <w:t>re la riconversione edilizia un’</w:t>
      </w:r>
      <w:r w:rsidR="008D3DB8" w:rsidRPr="005323D7">
        <w:rPr>
          <w:rFonts w:ascii="Arial" w:eastAsia="Calibri" w:hAnsi="Arial" w:cs="Arial"/>
          <w:sz w:val="24"/>
          <w:szCs w:val="24"/>
        </w:rPr>
        <w:t>opportunità di cres</w:t>
      </w:r>
      <w:r w:rsidR="008D3DB8">
        <w:rPr>
          <w:rFonts w:ascii="Arial" w:eastAsia="Calibri" w:hAnsi="Arial" w:cs="Arial"/>
          <w:sz w:val="24"/>
          <w:szCs w:val="24"/>
        </w:rPr>
        <w:t>cita e di sicurezza energetica</w:t>
      </w:r>
      <w:r>
        <w:rPr>
          <w:rFonts w:ascii="Arial" w:eastAsia="Calibri" w:hAnsi="Arial" w:cs="Arial"/>
          <w:sz w:val="24"/>
          <w:szCs w:val="24"/>
        </w:rPr>
        <w:t>”</w:t>
      </w:r>
      <w:r w:rsidR="005B5A69">
        <w:rPr>
          <w:rFonts w:ascii="Arial" w:eastAsia="Calibri" w:hAnsi="Arial" w:cs="Arial"/>
          <w:sz w:val="24"/>
          <w:szCs w:val="24"/>
        </w:rPr>
        <w:t>.</w:t>
      </w:r>
    </w:p>
    <w:p w14:paraId="330111A6" w14:textId="77777777" w:rsidR="000B3F7C" w:rsidRDefault="000B3F7C" w:rsidP="008D3DB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E66D1DC" w14:textId="66C9FECC" w:rsidR="008D3DB8" w:rsidRPr="005323D7" w:rsidRDefault="000B3F7C" w:rsidP="008D3DB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Secondo </w:t>
      </w:r>
      <w:r w:rsidR="003E4FCB">
        <w:rPr>
          <w:rFonts w:ascii="Arial" w:eastAsia="Calibri" w:hAnsi="Arial" w:cs="Arial"/>
          <w:sz w:val="24"/>
          <w:szCs w:val="24"/>
        </w:rPr>
        <w:t>Regalbuto</w:t>
      </w:r>
      <w:r w:rsidR="004B70C3">
        <w:rPr>
          <w:rFonts w:ascii="Arial" w:eastAsia="Calibri" w:hAnsi="Arial" w:cs="Arial"/>
          <w:sz w:val="24"/>
          <w:szCs w:val="24"/>
        </w:rPr>
        <w:t>,</w:t>
      </w:r>
      <w:r w:rsidR="008D3DB8" w:rsidRPr="005323D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“il </w:t>
      </w:r>
      <w:r w:rsidR="008D3DB8" w:rsidRPr="005323D7">
        <w:rPr>
          <w:rFonts w:ascii="Arial" w:eastAsia="Calibri" w:hAnsi="Arial" w:cs="Arial"/>
          <w:sz w:val="24"/>
          <w:szCs w:val="24"/>
        </w:rPr>
        <w:t xml:space="preserve">dibattito dovrebbe </w:t>
      </w:r>
      <w:r w:rsidR="008D3DB8">
        <w:rPr>
          <w:rFonts w:ascii="Arial" w:eastAsia="Calibri" w:hAnsi="Arial" w:cs="Arial"/>
          <w:sz w:val="24"/>
          <w:szCs w:val="24"/>
        </w:rPr>
        <w:t xml:space="preserve">quindi </w:t>
      </w:r>
      <w:r w:rsidR="008D3DB8" w:rsidRPr="005323D7">
        <w:rPr>
          <w:rFonts w:ascii="Arial" w:eastAsia="Calibri" w:hAnsi="Arial" w:cs="Arial"/>
          <w:sz w:val="24"/>
          <w:szCs w:val="24"/>
        </w:rPr>
        <w:t xml:space="preserve">concentrarsi su come migliorare questi meccanismi, rendendoli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più accessibili anche alle famiglie a basso reddito</w:t>
      </w:r>
      <w:r w:rsidR="008D3DB8" w:rsidRPr="005323D7">
        <w:rPr>
          <w:rFonts w:ascii="Arial" w:eastAsia="Calibri" w:hAnsi="Arial" w:cs="Arial"/>
          <w:sz w:val="24"/>
          <w:szCs w:val="24"/>
        </w:rPr>
        <w:t xml:space="preserve">, </w:t>
      </w:r>
      <w:r w:rsidR="008D3DB8">
        <w:rPr>
          <w:rFonts w:ascii="Arial" w:eastAsia="Calibri" w:hAnsi="Arial" w:cs="Arial"/>
          <w:sz w:val="24"/>
          <w:szCs w:val="24"/>
        </w:rPr>
        <w:t xml:space="preserve">più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sostenibili per le finanze pubbliche</w:t>
      </w:r>
      <w:r w:rsidR="008D3DB8" w:rsidRPr="005323D7">
        <w:rPr>
          <w:rFonts w:ascii="Arial" w:eastAsia="Calibri" w:hAnsi="Arial" w:cs="Arial"/>
          <w:sz w:val="24"/>
          <w:szCs w:val="24"/>
        </w:rPr>
        <w:t xml:space="preserve"> e</w:t>
      </w:r>
      <w:r w:rsidR="008D3DB8">
        <w:rPr>
          <w:rFonts w:ascii="Arial" w:eastAsia="Calibri" w:hAnsi="Arial" w:cs="Arial"/>
          <w:sz w:val="24"/>
          <w:szCs w:val="24"/>
        </w:rPr>
        <w:t xml:space="preserve"> più</w:t>
      </w:r>
      <w:r w:rsidR="008D3DB8" w:rsidRPr="005323D7">
        <w:rPr>
          <w:rFonts w:ascii="Arial" w:eastAsia="Calibri" w:hAnsi="Arial" w:cs="Arial"/>
          <w:sz w:val="24"/>
          <w:szCs w:val="24"/>
        </w:rPr>
        <w:t xml:space="preserve">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efficaci nella riduzione delle emissioni</w:t>
      </w:r>
      <w:r w:rsidR="008D3DB8" w:rsidRPr="005323D7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8D3DB8">
        <w:rPr>
          <w:rFonts w:ascii="Arial" w:eastAsia="Calibri" w:hAnsi="Arial" w:cs="Arial"/>
          <w:sz w:val="24"/>
          <w:szCs w:val="24"/>
        </w:rPr>
        <w:t xml:space="preserve">Occorre mettere a frutto </w:t>
      </w:r>
      <w:r>
        <w:rPr>
          <w:rFonts w:ascii="Arial" w:eastAsia="Calibri" w:hAnsi="Arial" w:cs="Arial"/>
          <w:sz w:val="24"/>
          <w:szCs w:val="24"/>
        </w:rPr>
        <w:t xml:space="preserve">– ha concluso </w:t>
      </w:r>
      <w:r w:rsidR="004B70C3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8D3DB8" w:rsidRPr="005323D7">
        <w:rPr>
          <w:rFonts w:ascii="Arial" w:eastAsia="Calibri" w:hAnsi="Arial" w:cs="Arial"/>
          <w:sz w:val="24"/>
          <w:szCs w:val="24"/>
        </w:rPr>
        <w:t xml:space="preserve">le risorse destinate alla </w:t>
      </w:r>
      <w:r w:rsidR="008465FC" w:rsidRPr="008465FC">
        <w:rPr>
          <w:rFonts w:ascii="Arial" w:eastAsia="Calibri" w:hAnsi="Arial" w:cs="Arial"/>
          <w:b/>
          <w:bCs/>
          <w:sz w:val="24"/>
          <w:szCs w:val="24"/>
        </w:rPr>
        <w:t>r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igenerazione urbana</w:t>
      </w:r>
      <w:r w:rsidR="008D3DB8" w:rsidRPr="005323D7">
        <w:rPr>
          <w:rFonts w:ascii="Arial" w:eastAsia="Calibri" w:hAnsi="Arial" w:cs="Arial"/>
          <w:sz w:val="24"/>
          <w:szCs w:val="24"/>
        </w:rPr>
        <w:t xml:space="preserve"> del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PNRR (3,3 miliardi)</w:t>
      </w:r>
      <w:r w:rsidR="008D3DB8">
        <w:rPr>
          <w:rFonts w:ascii="Arial" w:eastAsia="Calibri" w:hAnsi="Arial" w:cs="Arial"/>
          <w:sz w:val="24"/>
          <w:szCs w:val="24"/>
        </w:rPr>
        <w:t xml:space="preserve"> con obiettivi chiari e condivisi che portino ad un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>superbonus 2.0</w:t>
      </w:r>
      <w:r w:rsidR="008D3DB8">
        <w:rPr>
          <w:rFonts w:ascii="Arial" w:eastAsia="Calibri" w:hAnsi="Arial" w:cs="Arial"/>
          <w:sz w:val="24"/>
          <w:szCs w:val="24"/>
        </w:rPr>
        <w:t xml:space="preserve"> più semplice, mirato ed efficace, che preservi</w:t>
      </w:r>
      <w:r w:rsidR="008D3DB8" w:rsidRPr="00282D81">
        <w:rPr>
          <w:rFonts w:ascii="Arial" w:eastAsia="Calibri" w:hAnsi="Arial" w:cs="Arial"/>
          <w:sz w:val="24"/>
          <w:szCs w:val="24"/>
        </w:rPr>
        <w:t xml:space="preserve"> l’importante ruolo di garanzia dell’interesse pubblico svolto dai </w:t>
      </w:r>
      <w:r w:rsidR="008D3DB8" w:rsidRPr="008465FC">
        <w:rPr>
          <w:rFonts w:ascii="Arial" w:eastAsia="Calibri" w:hAnsi="Arial" w:cs="Arial"/>
          <w:b/>
          <w:bCs/>
          <w:sz w:val="24"/>
          <w:szCs w:val="24"/>
        </w:rPr>
        <w:t xml:space="preserve">professionisti </w:t>
      </w:r>
      <w:r w:rsidR="008D3DB8">
        <w:rPr>
          <w:rFonts w:ascii="Arial" w:eastAsia="Calibri" w:hAnsi="Arial" w:cs="Arial"/>
          <w:sz w:val="24"/>
          <w:szCs w:val="24"/>
        </w:rPr>
        <w:t>e che sia</w:t>
      </w:r>
      <w:r w:rsidR="008D3DB8" w:rsidRPr="005323D7">
        <w:rPr>
          <w:rFonts w:ascii="Arial" w:eastAsia="Calibri" w:hAnsi="Arial" w:cs="Arial"/>
          <w:sz w:val="24"/>
          <w:szCs w:val="24"/>
        </w:rPr>
        <w:t xml:space="preserve"> garanzia </w:t>
      </w:r>
      <w:r w:rsidR="008D3DB8">
        <w:rPr>
          <w:rFonts w:ascii="Arial" w:eastAsia="Calibri" w:hAnsi="Arial" w:cs="Arial"/>
          <w:sz w:val="24"/>
          <w:szCs w:val="24"/>
        </w:rPr>
        <w:t xml:space="preserve">di </w:t>
      </w:r>
      <w:r w:rsidR="008D3DB8" w:rsidRPr="005323D7">
        <w:rPr>
          <w:rFonts w:ascii="Arial" w:eastAsia="Calibri" w:hAnsi="Arial" w:cs="Arial"/>
          <w:sz w:val="24"/>
          <w:szCs w:val="24"/>
        </w:rPr>
        <w:t>sicurezza energetica</w:t>
      </w:r>
      <w:r w:rsidR="008D3DB8">
        <w:rPr>
          <w:rFonts w:ascii="Arial" w:eastAsia="Calibri" w:hAnsi="Arial" w:cs="Arial"/>
          <w:sz w:val="24"/>
          <w:szCs w:val="24"/>
        </w:rPr>
        <w:t>,</w:t>
      </w:r>
      <w:r w:rsidR="008D3DB8" w:rsidRPr="005323D7">
        <w:rPr>
          <w:rFonts w:ascii="Arial" w:eastAsia="Calibri" w:hAnsi="Arial" w:cs="Arial"/>
          <w:sz w:val="24"/>
          <w:szCs w:val="24"/>
        </w:rPr>
        <w:t xml:space="preserve"> </w:t>
      </w:r>
      <w:r w:rsidR="008D3DB8">
        <w:rPr>
          <w:rFonts w:ascii="Arial" w:eastAsia="Calibri" w:hAnsi="Arial" w:cs="Arial"/>
          <w:sz w:val="24"/>
          <w:szCs w:val="24"/>
        </w:rPr>
        <w:t>di valorizzazione</w:t>
      </w:r>
      <w:r w:rsidR="008D3DB8" w:rsidRPr="005323D7">
        <w:rPr>
          <w:rFonts w:ascii="Arial" w:eastAsia="Calibri" w:hAnsi="Arial" w:cs="Arial"/>
          <w:sz w:val="24"/>
          <w:szCs w:val="24"/>
        </w:rPr>
        <w:t xml:space="preserve"> </w:t>
      </w:r>
      <w:r w:rsidR="008D3DB8">
        <w:rPr>
          <w:rFonts w:ascii="Arial" w:eastAsia="Calibri" w:hAnsi="Arial" w:cs="Arial"/>
          <w:sz w:val="24"/>
          <w:szCs w:val="24"/>
        </w:rPr>
        <w:t>del</w:t>
      </w:r>
      <w:r w:rsidR="008D3DB8" w:rsidRPr="005323D7">
        <w:rPr>
          <w:rFonts w:ascii="Arial" w:eastAsia="Calibri" w:hAnsi="Arial" w:cs="Arial"/>
          <w:sz w:val="24"/>
          <w:szCs w:val="24"/>
        </w:rPr>
        <w:t xml:space="preserve"> patrimonio </w:t>
      </w:r>
      <w:r w:rsidR="008D3DB8">
        <w:rPr>
          <w:rFonts w:ascii="Arial" w:eastAsia="Calibri" w:hAnsi="Arial" w:cs="Arial"/>
          <w:sz w:val="24"/>
          <w:szCs w:val="24"/>
        </w:rPr>
        <w:t>edilizio e, più in generale, di crescita e sviluppo del Paese</w:t>
      </w:r>
      <w:r>
        <w:rPr>
          <w:rFonts w:ascii="Arial" w:eastAsia="Calibri" w:hAnsi="Arial" w:cs="Arial"/>
          <w:sz w:val="24"/>
          <w:szCs w:val="24"/>
        </w:rPr>
        <w:t>”</w:t>
      </w:r>
      <w:r w:rsidR="008D3DB8">
        <w:rPr>
          <w:rFonts w:ascii="Arial" w:eastAsia="Calibri" w:hAnsi="Arial" w:cs="Arial"/>
          <w:sz w:val="24"/>
          <w:szCs w:val="24"/>
        </w:rPr>
        <w:t>.</w:t>
      </w:r>
    </w:p>
    <w:bookmarkEnd w:id="0"/>
    <w:p w14:paraId="7EFA73DA" w14:textId="77777777" w:rsidR="008D3DB8" w:rsidRDefault="008D3DB8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D3DB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7C81" w14:textId="77777777" w:rsidR="00C8017E" w:rsidRDefault="00C8017E" w:rsidP="0078332C">
      <w:r>
        <w:separator/>
      </w:r>
    </w:p>
  </w:endnote>
  <w:endnote w:type="continuationSeparator" w:id="0">
    <w:p w14:paraId="70FEB8D9" w14:textId="77777777" w:rsidR="00C8017E" w:rsidRDefault="00C8017E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9F871" w14:textId="77777777" w:rsidR="00C8017E" w:rsidRDefault="00C8017E" w:rsidP="0078332C">
      <w:r>
        <w:separator/>
      </w:r>
    </w:p>
  </w:footnote>
  <w:footnote w:type="continuationSeparator" w:id="0">
    <w:p w14:paraId="2B700F02" w14:textId="77777777" w:rsidR="00C8017E" w:rsidRDefault="00C8017E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311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FC95A1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6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730967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977099023">
    <w:abstractNumId w:val="10"/>
  </w:num>
  <w:num w:numId="2" w16cid:durableId="219825531">
    <w:abstractNumId w:val="6"/>
  </w:num>
  <w:num w:numId="3" w16cid:durableId="748229942">
    <w:abstractNumId w:val="12"/>
  </w:num>
  <w:num w:numId="4" w16cid:durableId="812481146">
    <w:abstractNumId w:val="7"/>
  </w:num>
  <w:num w:numId="5" w16cid:durableId="1558662176">
    <w:abstractNumId w:val="18"/>
  </w:num>
  <w:num w:numId="6" w16cid:durableId="1164662252">
    <w:abstractNumId w:val="4"/>
  </w:num>
  <w:num w:numId="7" w16cid:durableId="347413329">
    <w:abstractNumId w:val="0"/>
  </w:num>
  <w:num w:numId="8" w16cid:durableId="1163857069">
    <w:abstractNumId w:val="15"/>
  </w:num>
  <w:num w:numId="9" w16cid:durableId="676422017">
    <w:abstractNumId w:val="8"/>
  </w:num>
  <w:num w:numId="10" w16cid:durableId="1534149371">
    <w:abstractNumId w:val="8"/>
  </w:num>
  <w:num w:numId="11" w16cid:durableId="1273395234">
    <w:abstractNumId w:val="9"/>
  </w:num>
  <w:num w:numId="12" w16cid:durableId="1941331629">
    <w:abstractNumId w:val="2"/>
  </w:num>
  <w:num w:numId="13" w16cid:durableId="1405957949">
    <w:abstractNumId w:val="16"/>
  </w:num>
  <w:num w:numId="14" w16cid:durableId="168955128">
    <w:abstractNumId w:val="3"/>
  </w:num>
  <w:num w:numId="15" w16cid:durableId="1305089526">
    <w:abstractNumId w:val="9"/>
    <w:lvlOverride w:ilvl="0">
      <w:startOverride w:val="1"/>
    </w:lvlOverride>
  </w:num>
  <w:num w:numId="16" w16cid:durableId="185944484">
    <w:abstractNumId w:val="3"/>
    <w:lvlOverride w:ilvl="0">
      <w:startOverride w:val="1"/>
    </w:lvlOverride>
  </w:num>
  <w:num w:numId="17" w16cid:durableId="1712531944">
    <w:abstractNumId w:val="1"/>
  </w:num>
  <w:num w:numId="18" w16cid:durableId="742990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9980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656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07036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351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870668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02125790">
    <w:abstractNumId w:val="14"/>
  </w:num>
  <w:num w:numId="25" w16cid:durableId="1414159061">
    <w:abstractNumId w:val="11"/>
  </w:num>
  <w:num w:numId="26" w16cid:durableId="322855116">
    <w:abstractNumId w:val="5"/>
  </w:num>
  <w:num w:numId="27" w16cid:durableId="765274455">
    <w:abstractNumId w:val="13"/>
  </w:num>
  <w:num w:numId="28" w16cid:durableId="11551011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6D5B"/>
    <w:rsid w:val="000971A3"/>
    <w:rsid w:val="000B3EFF"/>
    <w:rsid w:val="000B3F7C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5756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3DF2"/>
    <w:rsid w:val="00194C03"/>
    <w:rsid w:val="001A0166"/>
    <w:rsid w:val="001B5C29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62828"/>
    <w:rsid w:val="00272605"/>
    <w:rsid w:val="002777E7"/>
    <w:rsid w:val="00281202"/>
    <w:rsid w:val="0028246D"/>
    <w:rsid w:val="00286C68"/>
    <w:rsid w:val="002933D0"/>
    <w:rsid w:val="00294D14"/>
    <w:rsid w:val="00296472"/>
    <w:rsid w:val="002973C7"/>
    <w:rsid w:val="002978C9"/>
    <w:rsid w:val="00297CA4"/>
    <w:rsid w:val="002A1399"/>
    <w:rsid w:val="002A3814"/>
    <w:rsid w:val="002A59A1"/>
    <w:rsid w:val="002A70B5"/>
    <w:rsid w:val="002A76BF"/>
    <w:rsid w:val="002A7C92"/>
    <w:rsid w:val="002A7CF4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0EA9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CCC"/>
    <w:rsid w:val="003E0F52"/>
    <w:rsid w:val="003E1A7E"/>
    <w:rsid w:val="003E4FCB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43668"/>
    <w:rsid w:val="00452258"/>
    <w:rsid w:val="00456CEA"/>
    <w:rsid w:val="0046629D"/>
    <w:rsid w:val="0047270A"/>
    <w:rsid w:val="00472F6D"/>
    <w:rsid w:val="00476C15"/>
    <w:rsid w:val="00485F00"/>
    <w:rsid w:val="004868B9"/>
    <w:rsid w:val="004875FA"/>
    <w:rsid w:val="00493DC9"/>
    <w:rsid w:val="00494B2B"/>
    <w:rsid w:val="00496213"/>
    <w:rsid w:val="004964DA"/>
    <w:rsid w:val="004A44B8"/>
    <w:rsid w:val="004A6888"/>
    <w:rsid w:val="004B21EA"/>
    <w:rsid w:val="004B2695"/>
    <w:rsid w:val="004B70C3"/>
    <w:rsid w:val="004E435B"/>
    <w:rsid w:val="004E692D"/>
    <w:rsid w:val="004F1170"/>
    <w:rsid w:val="004F4736"/>
    <w:rsid w:val="004F56A8"/>
    <w:rsid w:val="004F7362"/>
    <w:rsid w:val="00500E13"/>
    <w:rsid w:val="00504C06"/>
    <w:rsid w:val="00505AE2"/>
    <w:rsid w:val="00511C1B"/>
    <w:rsid w:val="005122BE"/>
    <w:rsid w:val="00513477"/>
    <w:rsid w:val="00513967"/>
    <w:rsid w:val="00516C97"/>
    <w:rsid w:val="00520E1B"/>
    <w:rsid w:val="00522FFA"/>
    <w:rsid w:val="00531523"/>
    <w:rsid w:val="00531D32"/>
    <w:rsid w:val="005321A7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0A3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B5A69"/>
    <w:rsid w:val="005C1E5D"/>
    <w:rsid w:val="005C2B99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4F"/>
    <w:rsid w:val="005F5B57"/>
    <w:rsid w:val="005F684F"/>
    <w:rsid w:val="0060588F"/>
    <w:rsid w:val="00611427"/>
    <w:rsid w:val="00616BA6"/>
    <w:rsid w:val="00616CB9"/>
    <w:rsid w:val="00616CEE"/>
    <w:rsid w:val="006273CC"/>
    <w:rsid w:val="00631E07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0A41"/>
    <w:rsid w:val="00691FBF"/>
    <w:rsid w:val="006A0B5D"/>
    <w:rsid w:val="006A0D3B"/>
    <w:rsid w:val="006A4451"/>
    <w:rsid w:val="006B322C"/>
    <w:rsid w:val="006B7375"/>
    <w:rsid w:val="006C3945"/>
    <w:rsid w:val="006C6818"/>
    <w:rsid w:val="006C6D0E"/>
    <w:rsid w:val="006C7063"/>
    <w:rsid w:val="006E43CD"/>
    <w:rsid w:val="006F4DC7"/>
    <w:rsid w:val="00715BA2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C0C2D"/>
    <w:rsid w:val="007C14B1"/>
    <w:rsid w:val="007C3A93"/>
    <w:rsid w:val="007C5CCD"/>
    <w:rsid w:val="007D296F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15DE"/>
    <w:rsid w:val="00832BE3"/>
    <w:rsid w:val="00841053"/>
    <w:rsid w:val="0084346A"/>
    <w:rsid w:val="008465FC"/>
    <w:rsid w:val="00851572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4FB"/>
    <w:rsid w:val="008C5ED3"/>
    <w:rsid w:val="008C7690"/>
    <w:rsid w:val="008D3DB8"/>
    <w:rsid w:val="008D5C4B"/>
    <w:rsid w:val="008E141E"/>
    <w:rsid w:val="00900B88"/>
    <w:rsid w:val="0090302C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5839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3FE3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0667D"/>
    <w:rsid w:val="00B066AD"/>
    <w:rsid w:val="00B14747"/>
    <w:rsid w:val="00B15621"/>
    <w:rsid w:val="00B34200"/>
    <w:rsid w:val="00B42691"/>
    <w:rsid w:val="00B468F8"/>
    <w:rsid w:val="00B51B4A"/>
    <w:rsid w:val="00B62562"/>
    <w:rsid w:val="00B738BB"/>
    <w:rsid w:val="00B74510"/>
    <w:rsid w:val="00B8310D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40C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1E28"/>
    <w:rsid w:val="00C156F9"/>
    <w:rsid w:val="00C27F27"/>
    <w:rsid w:val="00C302BD"/>
    <w:rsid w:val="00C30E85"/>
    <w:rsid w:val="00C33494"/>
    <w:rsid w:val="00C342D6"/>
    <w:rsid w:val="00C418FB"/>
    <w:rsid w:val="00C43099"/>
    <w:rsid w:val="00C51F27"/>
    <w:rsid w:val="00C57B7C"/>
    <w:rsid w:val="00C61B6E"/>
    <w:rsid w:val="00C630E0"/>
    <w:rsid w:val="00C66852"/>
    <w:rsid w:val="00C8017E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5672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09D"/>
    <w:rsid w:val="00D14366"/>
    <w:rsid w:val="00D21FB3"/>
    <w:rsid w:val="00D234CB"/>
    <w:rsid w:val="00D27080"/>
    <w:rsid w:val="00D37415"/>
    <w:rsid w:val="00D41CE0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2EC2"/>
    <w:rsid w:val="00DA73B5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54468"/>
    <w:rsid w:val="00E6797B"/>
    <w:rsid w:val="00E67E9C"/>
    <w:rsid w:val="00E701F3"/>
    <w:rsid w:val="00E81E0C"/>
    <w:rsid w:val="00E855E0"/>
    <w:rsid w:val="00E90F71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1017"/>
    <w:rsid w:val="00EE3C69"/>
    <w:rsid w:val="00EE51A4"/>
    <w:rsid w:val="00EF49EF"/>
    <w:rsid w:val="00EF561D"/>
    <w:rsid w:val="00EF57D4"/>
    <w:rsid w:val="00EF7D25"/>
    <w:rsid w:val="00F00503"/>
    <w:rsid w:val="00F01EA9"/>
    <w:rsid w:val="00F066B1"/>
    <w:rsid w:val="00F079D1"/>
    <w:rsid w:val="00F177D2"/>
    <w:rsid w:val="00F30A50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xcontentpasted0">
    <w:name w:val="x_contentpasted0"/>
    <w:basedOn w:val="Carpredefinitoparagrafo"/>
    <w:rsid w:val="000B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cp:lastPrinted>2023-03-15T07:29:00Z</cp:lastPrinted>
  <dcterms:created xsi:type="dcterms:W3CDTF">2023-03-14T16:56:00Z</dcterms:created>
  <dcterms:modified xsi:type="dcterms:W3CDTF">2023-03-15T08:15:00Z</dcterms:modified>
</cp:coreProperties>
</file>