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5774C" w14:textId="77777777" w:rsidR="00564C7A" w:rsidRDefault="00564C7A" w:rsidP="007B28C6">
      <w:pPr>
        <w:pStyle w:val="xmsonormal"/>
        <w:shd w:val="clear" w:color="auto" w:fill="FFFFFF"/>
        <w:jc w:val="center"/>
        <w:rPr>
          <w:rStyle w:val="contentpasted0"/>
          <w:rFonts w:ascii="Arial" w:hAnsi="Arial" w:cs="Arial"/>
          <w:b/>
          <w:bCs/>
          <w:color w:val="000000"/>
          <w:sz w:val="24"/>
          <w:szCs w:val="24"/>
          <w:u w:val="single"/>
          <w:bdr w:val="none" w:sz="0" w:space="0" w:color="auto" w:frame="1"/>
          <w:shd w:val="clear" w:color="auto" w:fill="FFFFFF"/>
        </w:rPr>
      </w:pPr>
    </w:p>
    <w:p w14:paraId="58799AFD" w14:textId="77777777" w:rsidR="00564C7A" w:rsidRDefault="00564C7A" w:rsidP="007B28C6">
      <w:pPr>
        <w:pStyle w:val="xmsonormal"/>
        <w:shd w:val="clear" w:color="auto" w:fill="FFFFFF"/>
        <w:jc w:val="center"/>
        <w:rPr>
          <w:rStyle w:val="contentpasted0"/>
          <w:rFonts w:ascii="Arial" w:hAnsi="Arial" w:cs="Arial"/>
          <w:b/>
          <w:bCs/>
          <w:color w:val="000000"/>
          <w:sz w:val="24"/>
          <w:szCs w:val="24"/>
          <w:u w:val="single"/>
          <w:bdr w:val="none" w:sz="0" w:space="0" w:color="auto" w:frame="1"/>
          <w:shd w:val="clear" w:color="auto" w:fill="FFFFFF"/>
        </w:rPr>
      </w:pPr>
    </w:p>
    <w:p w14:paraId="2C5EB9E7" w14:textId="77777777" w:rsidR="00564C7A" w:rsidRDefault="00564C7A" w:rsidP="007B28C6">
      <w:pPr>
        <w:pStyle w:val="xmsonormal"/>
        <w:shd w:val="clear" w:color="auto" w:fill="FFFFFF"/>
        <w:jc w:val="center"/>
        <w:rPr>
          <w:rStyle w:val="contentpasted0"/>
          <w:rFonts w:ascii="Arial" w:hAnsi="Arial" w:cs="Arial"/>
          <w:b/>
          <w:bCs/>
          <w:color w:val="000000"/>
          <w:sz w:val="24"/>
          <w:szCs w:val="24"/>
          <w:u w:val="single"/>
          <w:bdr w:val="none" w:sz="0" w:space="0" w:color="auto" w:frame="1"/>
          <w:shd w:val="clear" w:color="auto" w:fill="FFFFFF"/>
        </w:rPr>
      </w:pPr>
    </w:p>
    <w:p w14:paraId="13091626" w14:textId="4C3BC76F" w:rsidR="007B28C6" w:rsidRDefault="007B28C6" w:rsidP="007B28C6">
      <w:pPr>
        <w:pStyle w:val="xmsonormal"/>
        <w:shd w:val="clear" w:color="auto" w:fill="FFFFFF"/>
        <w:jc w:val="center"/>
        <w:rPr>
          <w:color w:val="000000"/>
          <w:shd w:val="clear" w:color="auto" w:fill="FFFFFF"/>
        </w:rPr>
      </w:pPr>
      <w:r>
        <w:rPr>
          <w:rStyle w:val="contentpasted0"/>
          <w:rFonts w:ascii="Arial" w:hAnsi="Arial" w:cs="Arial"/>
          <w:b/>
          <w:bCs/>
          <w:color w:val="000000"/>
          <w:sz w:val="24"/>
          <w:szCs w:val="24"/>
          <w:u w:val="single"/>
          <w:bdr w:val="none" w:sz="0" w:space="0" w:color="auto" w:frame="1"/>
          <w:shd w:val="clear" w:color="auto" w:fill="FFFFFF"/>
        </w:rPr>
        <w:t>Comunicato stampa</w:t>
      </w:r>
      <w:r>
        <w:rPr>
          <w:rStyle w:val="contentpasted0"/>
          <w:rFonts w:ascii="Times New Roman" w:hAnsi="Times New Roman" w:cs="Times New Roman"/>
          <w:color w:val="000000"/>
          <w:sz w:val="24"/>
          <w:szCs w:val="24"/>
          <w:shd w:val="clear" w:color="auto" w:fill="FFFFFF"/>
        </w:rPr>
        <w:t>  </w:t>
      </w:r>
    </w:p>
    <w:p w14:paraId="5EA37E67" w14:textId="77777777" w:rsidR="007B28C6" w:rsidRDefault="007B28C6" w:rsidP="007B28C6">
      <w:pPr>
        <w:rPr>
          <w:color w:val="000000"/>
          <w:shd w:val="clear" w:color="auto" w:fill="FFFFFF"/>
        </w:rPr>
      </w:pPr>
      <w:r>
        <w:rPr>
          <w:color w:val="000000"/>
          <w:shd w:val="clear" w:color="auto" w:fill="FFFFFF"/>
        </w:rPr>
        <w:t> </w:t>
      </w:r>
    </w:p>
    <w:p w14:paraId="41352403" w14:textId="77777777" w:rsidR="007B28C6" w:rsidRDefault="007B28C6" w:rsidP="007B28C6">
      <w:pPr>
        <w:jc w:val="center"/>
        <w:rPr>
          <w:color w:val="000000"/>
          <w:shd w:val="clear" w:color="auto" w:fill="FFFFFF"/>
        </w:rPr>
      </w:pPr>
      <w:r>
        <w:rPr>
          <w:rFonts w:ascii="Arial" w:hAnsi="Arial" w:cs="Arial"/>
          <w:b/>
          <w:bCs/>
          <w:color w:val="000000"/>
          <w:sz w:val="24"/>
          <w:szCs w:val="24"/>
          <w:shd w:val="clear" w:color="auto" w:fill="FFFFFF"/>
        </w:rPr>
        <w:t> </w:t>
      </w:r>
      <w:r>
        <w:rPr>
          <w:rStyle w:val="contentpasted0"/>
          <w:rFonts w:ascii="Arial" w:hAnsi="Arial" w:cs="Arial"/>
          <w:b/>
          <w:bCs/>
          <w:color w:val="000000"/>
          <w:sz w:val="24"/>
          <w:szCs w:val="24"/>
          <w:shd w:val="clear" w:color="auto" w:fill="FFFFFF"/>
        </w:rPr>
        <w:t>PROCESSO TRIBUTARIO, FOCUS SULL’ONERE DELLA PROVA </w:t>
      </w:r>
    </w:p>
    <w:p w14:paraId="2EB364D4" w14:textId="77777777" w:rsidR="007B28C6" w:rsidRDefault="007B28C6" w:rsidP="007B28C6">
      <w:pPr>
        <w:jc w:val="center"/>
        <w:rPr>
          <w:color w:val="000000"/>
          <w:shd w:val="clear" w:color="auto" w:fill="FFFFFF"/>
        </w:rPr>
      </w:pPr>
    </w:p>
    <w:p w14:paraId="332FD569" w14:textId="77777777" w:rsidR="007B28C6" w:rsidRDefault="007B28C6" w:rsidP="007B28C6">
      <w:pPr>
        <w:jc w:val="center"/>
        <w:rPr>
          <w:color w:val="000000"/>
          <w:shd w:val="clear" w:color="auto" w:fill="FFFFFF"/>
        </w:rPr>
      </w:pPr>
      <w:r>
        <w:rPr>
          <w:rStyle w:val="contentpasted0"/>
          <w:rFonts w:ascii="Arial" w:hAnsi="Arial" w:cs="Arial"/>
          <w:b/>
          <w:bCs/>
          <w:color w:val="000000"/>
          <w:sz w:val="24"/>
          <w:szCs w:val="24"/>
          <w:shd w:val="clear" w:color="auto" w:fill="FFFFFF"/>
        </w:rPr>
        <w:t>Documento Consiglio e Fondazione nazionali dei commercialisti a seguito della legge 130 del 31 agosto 2022 </w:t>
      </w:r>
    </w:p>
    <w:p w14:paraId="4D1AE00E" w14:textId="77777777" w:rsidR="007B28C6" w:rsidRDefault="007B28C6" w:rsidP="007B28C6">
      <w:pPr>
        <w:jc w:val="both"/>
        <w:rPr>
          <w:color w:val="000000"/>
          <w:shd w:val="clear" w:color="auto" w:fill="FFFFFF"/>
        </w:rPr>
      </w:pPr>
      <w:r>
        <w:rPr>
          <w:rFonts w:ascii="Arial" w:hAnsi="Arial" w:cs="Arial"/>
          <w:i/>
          <w:iCs/>
          <w:color w:val="000000"/>
          <w:sz w:val="24"/>
          <w:szCs w:val="24"/>
          <w:shd w:val="clear" w:color="auto" w:fill="FFFFFF"/>
        </w:rPr>
        <w:t> </w:t>
      </w:r>
    </w:p>
    <w:p w14:paraId="1B125ACC" w14:textId="77777777" w:rsidR="007B28C6" w:rsidRDefault="007B28C6" w:rsidP="007B28C6">
      <w:pPr>
        <w:jc w:val="both"/>
        <w:rPr>
          <w:color w:val="000000"/>
          <w:shd w:val="clear" w:color="auto" w:fill="FFFFFF"/>
        </w:rPr>
      </w:pPr>
      <w:r>
        <w:rPr>
          <w:rFonts w:ascii="Arial" w:hAnsi="Arial" w:cs="Arial"/>
          <w:i/>
          <w:iCs/>
          <w:color w:val="000000"/>
          <w:sz w:val="24"/>
          <w:szCs w:val="24"/>
          <w:shd w:val="clear" w:color="auto" w:fill="FFFFFF"/>
        </w:rPr>
        <w:t> </w:t>
      </w:r>
    </w:p>
    <w:p w14:paraId="2A31F231" w14:textId="70E1BBF3" w:rsidR="007B28C6" w:rsidRDefault="007B28C6" w:rsidP="007B28C6">
      <w:pPr>
        <w:jc w:val="both"/>
        <w:rPr>
          <w:color w:val="000000"/>
          <w:shd w:val="clear" w:color="auto" w:fill="FFFFFF"/>
        </w:rPr>
      </w:pPr>
      <w:r>
        <w:rPr>
          <w:rStyle w:val="contentpasted0"/>
          <w:rFonts w:ascii="Arial" w:hAnsi="Arial" w:cs="Arial"/>
          <w:i/>
          <w:iCs/>
          <w:color w:val="000000"/>
          <w:sz w:val="24"/>
          <w:szCs w:val="24"/>
          <w:shd w:val="clear" w:color="auto" w:fill="FFFFFF"/>
        </w:rPr>
        <w:t>Roma, 14</w:t>
      </w:r>
      <w:r>
        <w:rPr>
          <w:rStyle w:val="contentpasted0"/>
          <w:rFonts w:ascii="Arial" w:hAnsi="Arial" w:cs="Arial"/>
          <w:i/>
          <w:iCs/>
          <w:color w:val="000000"/>
          <w:sz w:val="24"/>
          <w:szCs w:val="24"/>
          <w:shd w:val="clear" w:color="auto" w:fill="FFFFFF"/>
        </w:rPr>
        <w:t xml:space="preserve"> dicembre </w:t>
      </w:r>
      <w:r>
        <w:rPr>
          <w:rStyle w:val="contentpasted0"/>
          <w:rFonts w:ascii="Arial" w:hAnsi="Arial" w:cs="Arial"/>
          <w:i/>
          <w:iCs/>
          <w:color w:val="000000"/>
          <w:sz w:val="24"/>
          <w:szCs w:val="24"/>
          <w:shd w:val="clear" w:color="auto" w:fill="FFFFFF"/>
        </w:rPr>
        <w:t>2022</w:t>
      </w:r>
      <w:r w:rsidRPr="007B28C6">
        <w:rPr>
          <w:rStyle w:val="contentpasted0"/>
          <w:rFonts w:ascii="Arial" w:hAnsi="Arial" w:cs="Arial"/>
          <w:color w:val="000000"/>
          <w:sz w:val="24"/>
          <w:szCs w:val="24"/>
          <w:shd w:val="clear" w:color="auto" w:fill="FFFFFF"/>
        </w:rPr>
        <w:t xml:space="preserve"> </w:t>
      </w:r>
      <w:r w:rsidRPr="007B28C6">
        <w:rPr>
          <w:rStyle w:val="contentpasted0"/>
          <w:rFonts w:ascii="Arial" w:hAnsi="Arial" w:cs="Arial"/>
          <w:color w:val="000000"/>
          <w:sz w:val="24"/>
          <w:szCs w:val="24"/>
          <w:shd w:val="clear" w:color="auto" w:fill="FFFFFF"/>
        </w:rPr>
        <w:t>–</w:t>
      </w:r>
      <w:r>
        <w:rPr>
          <w:rStyle w:val="contentpasted0"/>
          <w:rFonts w:ascii="Arial" w:hAnsi="Arial" w:cs="Arial"/>
          <w:color w:val="000000"/>
          <w:sz w:val="24"/>
          <w:szCs w:val="24"/>
          <w:shd w:val="clear" w:color="auto" w:fill="FFFFFF"/>
        </w:rPr>
        <w:t xml:space="preserve"> La legge 31 agosto 2022, n. 130 di riforma della giustizia tributaria ha introdotto una disciplina specifica dell’onere della prova all’interno del processo tributario confluita nel nuovo comma 5-</w:t>
      </w:r>
      <w:r>
        <w:rPr>
          <w:rStyle w:val="contentpasted0"/>
          <w:rFonts w:ascii="Arial" w:hAnsi="Arial" w:cs="Arial"/>
          <w:i/>
          <w:iCs/>
          <w:color w:val="000000"/>
          <w:sz w:val="24"/>
          <w:szCs w:val="24"/>
          <w:shd w:val="clear" w:color="auto" w:fill="FFFFFF"/>
        </w:rPr>
        <w:t>bis</w:t>
      </w:r>
      <w:r>
        <w:rPr>
          <w:rStyle w:val="contentpasted0"/>
          <w:rFonts w:ascii="Arial" w:hAnsi="Arial" w:cs="Arial"/>
          <w:color w:val="000000"/>
          <w:sz w:val="24"/>
          <w:szCs w:val="24"/>
          <w:shd w:val="clear" w:color="auto" w:fill="FFFFFF"/>
        </w:rPr>
        <w:t xml:space="preserve"> dell’art. 7 del d.lgs. n. 546/1992, intitolato “Poteri delle corti di giustizia tributaria di primo e secondo grado”. </w:t>
      </w:r>
    </w:p>
    <w:p w14:paraId="59251079" w14:textId="77777777" w:rsidR="007B28C6" w:rsidRDefault="007B28C6" w:rsidP="007B28C6">
      <w:pPr>
        <w:jc w:val="both"/>
        <w:rPr>
          <w:color w:val="000000"/>
          <w:shd w:val="clear" w:color="auto" w:fill="FFFFFF"/>
        </w:rPr>
      </w:pPr>
      <w:r>
        <w:rPr>
          <w:rFonts w:ascii="Arial" w:hAnsi="Arial" w:cs="Arial"/>
          <w:color w:val="000000"/>
          <w:sz w:val="24"/>
          <w:szCs w:val="24"/>
          <w:shd w:val="clear" w:color="auto" w:fill="FFFFFF"/>
        </w:rPr>
        <w:t> </w:t>
      </w:r>
    </w:p>
    <w:p w14:paraId="7DF5E784" w14:textId="77777777" w:rsidR="007B28C6" w:rsidRDefault="007B28C6" w:rsidP="007B28C6">
      <w:pPr>
        <w:jc w:val="both"/>
        <w:rPr>
          <w:color w:val="000000"/>
          <w:shd w:val="clear" w:color="auto" w:fill="FFFFFF"/>
        </w:rPr>
      </w:pPr>
      <w:r>
        <w:rPr>
          <w:rStyle w:val="contentpasted0"/>
          <w:rFonts w:ascii="Arial" w:hAnsi="Arial" w:cs="Arial"/>
          <w:color w:val="000000"/>
          <w:sz w:val="24"/>
          <w:szCs w:val="24"/>
          <w:shd w:val="clear" w:color="auto" w:fill="FFFFFF"/>
        </w:rPr>
        <w:t>Con il documento pubblicato oggi, dal titolo “L’onere della prova nel processo tributario, a seguito della legge 31 agosto 2022, n. 130”, la Fondazione Nazionale di ricerca dei Commercialisti e il Consiglio nazionale dei Dottori commercialisti e degli Esperti Contabili forniscono le prime indicazioni in merito alla portata applicativa di tale nuova disciplina, indagandone natura, finalità e funzione. </w:t>
      </w:r>
    </w:p>
    <w:p w14:paraId="5DBFB2EE" w14:textId="77777777" w:rsidR="007B28C6" w:rsidRDefault="007B28C6" w:rsidP="007B28C6">
      <w:pPr>
        <w:jc w:val="both"/>
        <w:rPr>
          <w:color w:val="000000"/>
          <w:shd w:val="clear" w:color="auto" w:fill="FFFFFF"/>
        </w:rPr>
      </w:pPr>
      <w:r>
        <w:rPr>
          <w:rFonts w:ascii="Arial" w:hAnsi="Arial" w:cs="Arial"/>
          <w:color w:val="000000"/>
          <w:sz w:val="24"/>
          <w:szCs w:val="24"/>
          <w:shd w:val="clear" w:color="auto" w:fill="FFFFFF"/>
        </w:rPr>
        <w:t> </w:t>
      </w:r>
    </w:p>
    <w:p w14:paraId="1E403798" w14:textId="77777777" w:rsidR="007B28C6" w:rsidRDefault="007B28C6" w:rsidP="007B28C6">
      <w:pPr>
        <w:jc w:val="both"/>
        <w:rPr>
          <w:color w:val="000000"/>
          <w:shd w:val="clear" w:color="auto" w:fill="FFFFFF"/>
        </w:rPr>
      </w:pPr>
      <w:r>
        <w:rPr>
          <w:rStyle w:val="contentpasted0"/>
          <w:rFonts w:ascii="Arial" w:hAnsi="Arial" w:cs="Arial"/>
          <w:color w:val="000000"/>
          <w:sz w:val="24"/>
          <w:szCs w:val="24"/>
          <w:shd w:val="clear" w:color="auto" w:fill="FFFFFF"/>
        </w:rPr>
        <w:t xml:space="preserve">Lo studio, dopo un inquadramento di tipo sistematico, esamina il rapporto della novella normativa con l’istruttoria </w:t>
      </w:r>
      <w:proofErr w:type="spellStart"/>
      <w:r>
        <w:rPr>
          <w:rStyle w:val="contentpasted0"/>
          <w:rFonts w:ascii="Arial" w:hAnsi="Arial" w:cs="Arial"/>
          <w:color w:val="000000"/>
          <w:sz w:val="24"/>
          <w:szCs w:val="24"/>
          <w:shd w:val="clear" w:color="auto" w:fill="FFFFFF"/>
        </w:rPr>
        <w:t>pre</w:t>
      </w:r>
      <w:proofErr w:type="spellEnd"/>
      <w:r>
        <w:rPr>
          <w:rStyle w:val="contentpasted0"/>
          <w:rFonts w:ascii="Arial" w:hAnsi="Arial" w:cs="Arial"/>
          <w:color w:val="000000"/>
          <w:sz w:val="24"/>
          <w:szCs w:val="24"/>
          <w:shd w:val="clear" w:color="auto" w:fill="FFFFFF"/>
        </w:rPr>
        <w:t>-accertativa e con la normativa sostanziale, nonché la sua efficacia temporale. </w:t>
      </w:r>
    </w:p>
    <w:p w14:paraId="20A1819C" w14:textId="77777777" w:rsidR="007B28C6" w:rsidRDefault="007B28C6" w:rsidP="007B28C6">
      <w:pPr>
        <w:jc w:val="both"/>
        <w:rPr>
          <w:color w:val="000000"/>
          <w:shd w:val="clear" w:color="auto" w:fill="FFFFFF"/>
        </w:rPr>
      </w:pPr>
      <w:r>
        <w:rPr>
          <w:rFonts w:ascii="Arial" w:hAnsi="Arial" w:cs="Arial"/>
          <w:color w:val="000000"/>
          <w:sz w:val="24"/>
          <w:szCs w:val="24"/>
          <w:shd w:val="clear" w:color="auto" w:fill="FFFFFF"/>
        </w:rPr>
        <w:t> </w:t>
      </w:r>
    </w:p>
    <w:p w14:paraId="6EF60AC5" w14:textId="77777777" w:rsidR="007B28C6" w:rsidRDefault="007B28C6" w:rsidP="007B28C6">
      <w:pPr>
        <w:jc w:val="both"/>
        <w:rPr>
          <w:color w:val="000000"/>
          <w:shd w:val="clear" w:color="auto" w:fill="FFFFFF"/>
        </w:rPr>
      </w:pPr>
      <w:r>
        <w:rPr>
          <w:rStyle w:val="contentpasted0"/>
          <w:rFonts w:ascii="Arial" w:hAnsi="Arial" w:cs="Arial"/>
          <w:color w:val="000000"/>
          <w:sz w:val="24"/>
          <w:szCs w:val="24"/>
          <w:shd w:val="clear" w:color="auto" w:fill="FFFFFF"/>
        </w:rPr>
        <w:t>Il documento fornisce infine utili spunti anche sull’impatto che la nuova disciplina in materia di onere della prova potrà avere su alcune tipiche fattispecie accertative quali la presunzione di distribuzione di utili per i soci di società di capitali a ristretta base partecipativa, la deducibilità dei costi nel reddito d’impresa o le fatture per operazioni inesistenti, individuando una possibile chiave di lettura che, alla luce dei principi del giusto processo e del diritto di difesa, conduca ad una più corretta declinazione del criterio di ripartizione dell’onere probatorio tra contribuente e amministrazione finanziaria. </w:t>
      </w:r>
    </w:p>
    <w:p w14:paraId="2AE631F4" w14:textId="77777777" w:rsidR="00042074" w:rsidRDefault="00042074"/>
    <w:sectPr w:rsidR="00042074">
      <w:head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5A145" w14:textId="77777777" w:rsidR="00345A5F" w:rsidRDefault="00345A5F" w:rsidP="00564C7A">
      <w:r>
        <w:separator/>
      </w:r>
    </w:p>
  </w:endnote>
  <w:endnote w:type="continuationSeparator" w:id="0">
    <w:p w14:paraId="0B186471" w14:textId="77777777" w:rsidR="00345A5F" w:rsidRDefault="00345A5F" w:rsidP="00564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5EA77" w14:textId="77777777" w:rsidR="00345A5F" w:rsidRDefault="00345A5F" w:rsidP="00564C7A">
      <w:r>
        <w:separator/>
      </w:r>
    </w:p>
  </w:footnote>
  <w:footnote w:type="continuationSeparator" w:id="0">
    <w:p w14:paraId="1BFC240A" w14:textId="77777777" w:rsidR="00345A5F" w:rsidRDefault="00345A5F" w:rsidP="00564C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D145D" w14:textId="3EB7E1BD" w:rsidR="00564C7A" w:rsidRDefault="00564C7A" w:rsidP="00564C7A">
    <w:pPr>
      <w:pStyle w:val="Intestazione"/>
      <w:jc w:val="center"/>
    </w:pPr>
    <w:r>
      <w:rPr>
        <w:noProof/>
      </w:rPr>
      <w:drawing>
        <wp:inline distT="0" distB="0" distL="0" distR="0" wp14:anchorId="2F5BF0C5" wp14:editId="753078A0">
          <wp:extent cx="2581275" cy="876792"/>
          <wp:effectExtent l="0" t="0" r="0" b="0"/>
          <wp:docPr id="1" name="Immagine 1" descr="CND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DC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5571" cy="88504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073"/>
    <w:rsid w:val="00042074"/>
    <w:rsid w:val="00160073"/>
    <w:rsid w:val="00345A5F"/>
    <w:rsid w:val="00564C7A"/>
    <w:rsid w:val="007B28C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98A98"/>
  <w15:chartTrackingRefBased/>
  <w15:docId w15:val="{4BBD9BA1-7494-4C2B-B3D6-014EE074E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B28C6"/>
    <w:pPr>
      <w:spacing w:after="0" w:line="240" w:lineRule="auto"/>
    </w:pPr>
    <w:rPr>
      <w:rFonts w:ascii="Calibri" w:hAnsi="Calibri" w:cs="Calibri"/>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xmsonormal">
    <w:name w:val="xmsonormal"/>
    <w:basedOn w:val="Normale"/>
    <w:rsid w:val="007B28C6"/>
  </w:style>
  <w:style w:type="character" w:customStyle="1" w:styleId="contentpasted0">
    <w:name w:val="contentpasted0"/>
    <w:basedOn w:val="Carpredefinitoparagrafo"/>
    <w:rsid w:val="007B28C6"/>
  </w:style>
  <w:style w:type="paragraph" w:styleId="Intestazione">
    <w:name w:val="header"/>
    <w:basedOn w:val="Normale"/>
    <w:link w:val="IntestazioneCarattere"/>
    <w:uiPriority w:val="99"/>
    <w:unhideWhenUsed/>
    <w:rsid w:val="00564C7A"/>
    <w:pPr>
      <w:tabs>
        <w:tab w:val="center" w:pos="4819"/>
        <w:tab w:val="right" w:pos="9638"/>
      </w:tabs>
    </w:pPr>
  </w:style>
  <w:style w:type="character" w:customStyle="1" w:styleId="IntestazioneCarattere">
    <w:name w:val="Intestazione Carattere"/>
    <w:basedOn w:val="Carpredefinitoparagrafo"/>
    <w:link w:val="Intestazione"/>
    <w:uiPriority w:val="99"/>
    <w:rsid w:val="00564C7A"/>
    <w:rPr>
      <w:rFonts w:ascii="Calibri" w:hAnsi="Calibri" w:cs="Calibri"/>
      <w:lang w:eastAsia="it-IT"/>
    </w:rPr>
  </w:style>
  <w:style w:type="paragraph" w:styleId="Pidipagina">
    <w:name w:val="footer"/>
    <w:basedOn w:val="Normale"/>
    <w:link w:val="PidipaginaCarattere"/>
    <w:uiPriority w:val="99"/>
    <w:unhideWhenUsed/>
    <w:rsid w:val="00564C7A"/>
    <w:pPr>
      <w:tabs>
        <w:tab w:val="center" w:pos="4819"/>
        <w:tab w:val="right" w:pos="9638"/>
      </w:tabs>
    </w:pPr>
  </w:style>
  <w:style w:type="character" w:customStyle="1" w:styleId="PidipaginaCarattere">
    <w:name w:val="Piè di pagina Carattere"/>
    <w:basedOn w:val="Carpredefinitoparagrafo"/>
    <w:link w:val="Pidipagina"/>
    <w:uiPriority w:val="99"/>
    <w:rsid w:val="00564C7A"/>
    <w:rPr>
      <w:rFonts w:ascii="Calibri" w:hAnsi="Calibri" w:cs="Calibri"/>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014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1513</Characters>
  <Application>Microsoft Office Word</Application>
  <DocSecurity>0</DocSecurity>
  <Lines>12</Lines>
  <Paragraphs>3</Paragraphs>
  <ScaleCrop>false</ScaleCrop>
  <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3</cp:revision>
  <dcterms:created xsi:type="dcterms:W3CDTF">2022-12-15T08:41:00Z</dcterms:created>
  <dcterms:modified xsi:type="dcterms:W3CDTF">2022-12-15T08:42:00Z</dcterms:modified>
</cp:coreProperties>
</file>