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0B5" w:rsidRDefault="005820B5" w:rsidP="00D10DE0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499733979"/>
      <w:bookmarkStart w:id="1" w:name="_Hlk11336057"/>
    </w:p>
    <w:p w:rsidR="002F6C28" w:rsidRDefault="002F6C28" w:rsidP="00D10DE0">
      <w:pPr>
        <w:rPr>
          <w:rFonts w:ascii="Arial" w:hAnsi="Arial" w:cs="Arial"/>
          <w:b/>
          <w:bCs/>
          <w:sz w:val="24"/>
          <w:szCs w:val="24"/>
          <w:u w:val="single"/>
        </w:rPr>
      </w:pPr>
    </w:p>
    <w:bookmarkEnd w:id="0"/>
    <w:p w:rsidR="00C769FB" w:rsidRDefault="00C769FB" w:rsidP="00CE164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769FB" w:rsidRDefault="00C769FB" w:rsidP="00CE164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AE175F" w:rsidRDefault="00CE164D" w:rsidP="00AE175F">
      <w:pPr>
        <w:rPr>
          <w:rFonts w:ascii="Arial" w:hAnsi="Arial" w:cs="Arial"/>
          <w:sz w:val="24"/>
          <w:szCs w:val="24"/>
        </w:rPr>
      </w:pPr>
      <w:bookmarkStart w:id="2" w:name="_Hlk11400306"/>
      <w:r w:rsidRPr="00C769FB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  <w:r w:rsidRPr="00C769FB">
        <w:rPr>
          <w:rFonts w:ascii="Arial" w:hAnsi="Arial" w:cs="Arial"/>
          <w:sz w:val="24"/>
          <w:szCs w:val="24"/>
        </w:rPr>
        <w:t xml:space="preserve"> </w:t>
      </w:r>
    </w:p>
    <w:p w:rsidR="00AE175F" w:rsidRDefault="00AE175F" w:rsidP="00AE175F">
      <w:pPr>
        <w:rPr>
          <w:rFonts w:eastAsia="Times New Roman"/>
          <w:b/>
          <w:bCs/>
        </w:rPr>
      </w:pPr>
    </w:p>
    <w:p w:rsidR="008E48C7" w:rsidRDefault="008E48C7" w:rsidP="008E48C7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FISCALITA’ INTERNAZIONALE, ACCORDO CNDCEC – CFE</w:t>
      </w:r>
    </w:p>
    <w:p w:rsidR="008E48C7" w:rsidRDefault="008E48C7" w:rsidP="008E48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Anche i commercialisti italiani potranno iscriversi al Registro europeo di esperti d</w:t>
      </w:r>
      <w:r w:rsidRPr="0087523A">
        <w:rPr>
          <w:rFonts w:ascii="Arial" w:eastAsia="Times New Roman" w:hAnsi="Arial" w:cs="Arial"/>
          <w:b/>
          <w:bCs/>
          <w:sz w:val="24"/>
          <w:szCs w:val="24"/>
        </w:rPr>
        <w:t xml:space="preserve">ella materia. </w:t>
      </w:r>
      <w:r w:rsidR="009A1CAE" w:rsidRPr="0087523A">
        <w:rPr>
          <w:rFonts w:ascii="Arial" w:eastAsia="Times New Roman" w:hAnsi="Arial" w:cs="Arial"/>
          <w:b/>
          <w:bCs/>
          <w:sz w:val="24"/>
          <w:szCs w:val="24"/>
        </w:rPr>
        <w:t xml:space="preserve">Online entro l’anno corsi </w:t>
      </w:r>
      <w:r w:rsidR="0087523A" w:rsidRPr="0087523A">
        <w:rPr>
          <w:rFonts w:ascii="Arial" w:hAnsi="Arial" w:cs="Arial"/>
          <w:b/>
          <w:sz w:val="24"/>
          <w:szCs w:val="24"/>
        </w:rPr>
        <w:t>sui temi di maggior rilievo di fiscalità internazionale</w:t>
      </w:r>
    </w:p>
    <w:p w:rsidR="0087523A" w:rsidRDefault="0087523A" w:rsidP="008E48C7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E175F" w:rsidRPr="008E48C7" w:rsidRDefault="00E97B80" w:rsidP="008E48C7">
      <w:pPr>
        <w:jc w:val="both"/>
        <w:rPr>
          <w:rFonts w:ascii="Arial" w:eastAsia="Times New Roman" w:hAnsi="Arial" w:cs="Arial"/>
          <w:sz w:val="24"/>
          <w:szCs w:val="24"/>
        </w:rPr>
      </w:pPr>
      <w:r w:rsidRPr="00E97B80">
        <w:rPr>
          <w:rFonts w:ascii="Arial" w:eastAsia="Times New Roman" w:hAnsi="Arial" w:cs="Arial"/>
          <w:bCs/>
          <w:i/>
          <w:sz w:val="24"/>
          <w:szCs w:val="24"/>
        </w:rPr>
        <w:t>Roma, 1</w:t>
      </w:r>
      <w:r w:rsidR="001B3409">
        <w:rPr>
          <w:rFonts w:ascii="Arial" w:eastAsia="Times New Roman" w:hAnsi="Arial" w:cs="Arial"/>
          <w:bCs/>
          <w:i/>
          <w:sz w:val="24"/>
          <w:szCs w:val="24"/>
        </w:rPr>
        <w:t>4</w:t>
      </w:r>
      <w:r w:rsidRPr="00E97B80">
        <w:rPr>
          <w:rFonts w:ascii="Arial" w:eastAsia="Times New Roman" w:hAnsi="Arial" w:cs="Arial"/>
          <w:bCs/>
          <w:i/>
          <w:sz w:val="24"/>
          <w:szCs w:val="24"/>
        </w:rPr>
        <w:t xml:space="preserve"> giugno 2019 - </w:t>
      </w:r>
      <w:r w:rsidR="00315457">
        <w:rPr>
          <w:rFonts w:ascii="Arial" w:eastAsia="Times New Roman" w:hAnsi="Arial" w:cs="Arial"/>
          <w:bCs/>
          <w:sz w:val="24"/>
          <w:szCs w:val="24"/>
        </w:rPr>
        <w:t>P</w:t>
      </w:r>
      <w:r w:rsidR="008E48C7" w:rsidRPr="00E97B80">
        <w:rPr>
          <w:rFonts w:ascii="Arial" w:eastAsia="Times New Roman" w:hAnsi="Arial" w:cs="Arial"/>
          <w:bCs/>
          <w:sz w:val="24"/>
          <w:szCs w:val="24"/>
        </w:rPr>
        <w:t xml:space="preserve">ossibilità di </w:t>
      </w:r>
      <w:r w:rsidR="008E48C7" w:rsidRPr="00E97B80">
        <w:rPr>
          <w:rFonts w:ascii="Arial" w:eastAsia="Times New Roman" w:hAnsi="Arial" w:cs="Arial"/>
          <w:b/>
          <w:bCs/>
          <w:sz w:val="24"/>
          <w:szCs w:val="24"/>
        </w:rPr>
        <w:t>iscrizione</w:t>
      </w:r>
      <w:r w:rsidR="008E48C7" w:rsidRPr="00E97B80">
        <w:rPr>
          <w:rFonts w:ascii="Arial" w:eastAsia="Times New Roman" w:hAnsi="Arial" w:cs="Arial"/>
          <w:bCs/>
          <w:sz w:val="24"/>
          <w:szCs w:val="24"/>
        </w:rPr>
        <w:t xml:space="preserve"> anche per i commercialisti italiani al</w:t>
      </w:r>
      <w:r w:rsidR="00AE175F" w:rsidRPr="00E97B8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E175F" w:rsidRPr="00E97B80">
        <w:rPr>
          <w:rFonts w:ascii="Arial" w:eastAsia="Times New Roman" w:hAnsi="Arial" w:cs="Arial"/>
          <w:b/>
          <w:bCs/>
          <w:sz w:val="24"/>
          <w:szCs w:val="24"/>
        </w:rPr>
        <w:t>Registro europeo</w:t>
      </w:r>
      <w:r w:rsidR="00AE175F" w:rsidRPr="00E97B80">
        <w:rPr>
          <w:rFonts w:ascii="Arial" w:eastAsia="Times New Roman" w:hAnsi="Arial" w:cs="Arial"/>
          <w:bCs/>
          <w:sz w:val="24"/>
          <w:szCs w:val="24"/>
        </w:rPr>
        <w:t xml:space="preserve"> degli esperti in fiscalità internazionale e </w:t>
      </w:r>
      <w:r w:rsidR="00AE175F" w:rsidRPr="00E97B80">
        <w:rPr>
          <w:rFonts w:ascii="Arial" w:eastAsia="Times New Roman" w:hAnsi="Arial" w:cs="Arial"/>
          <w:b/>
          <w:bCs/>
          <w:sz w:val="24"/>
          <w:szCs w:val="24"/>
        </w:rPr>
        <w:t>corsi on line</w:t>
      </w:r>
      <w:r w:rsidR="00AE175F" w:rsidRPr="00E97B80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su</w:t>
      </w:r>
      <w:r w:rsidR="00C57D83">
        <w:rPr>
          <w:rFonts w:ascii="Arial" w:eastAsia="Times New Roman" w:hAnsi="Arial" w:cs="Arial"/>
          <w:bCs/>
          <w:sz w:val="24"/>
          <w:szCs w:val="24"/>
        </w:rPr>
        <w:t>gli aspetti più rilevanti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57D83">
        <w:rPr>
          <w:rFonts w:ascii="Arial" w:eastAsia="Times New Roman" w:hAnsi="Arial" w:cs="Arial"/>
          <w:bCs/>
          <w:sz w:val="24"/>
          <w:szCs w:val="24"/>
        </w:rPr>
        <w:t xml:space="preserve">della </w:t>
      </w:r>
      <w:r>
        <w:rPr>
          <w:rFonts w:ascii="Arial" w:eastAsia="Times New Roman" w:hAnsi="Arial" w:cs="Arial"/>
          <w:bCs/>
          <w:sz w:val="24"/>
          <w:szCs w:val="24"/>
        </w:rPr>
        <w:t>materia</w:t>
      </w:r>
      <w:r w:rsidR="00AE175F" w:rsidRPr="00E97B80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AE175F" w:rsidRPr="00E97B80">
        <w:rPr>
          <w:rFonts w:ascii="Arial" w:eastAsia="Times New Roman" w:hAnsi="Arial" w:cs="Arial"/>
          <w:sz w:val="24"/>
          <w:szCs w:val="24"/>
        </w:rPr>
        <w:t>E’</w:t>
      </w:r>
      <w:proofErr w:type="gramEnd"/>
      <w:r w:rsidR="00AE175F" w:rsidRPr="008E48C7">
        <w:rPr>
          <w:rFonts w:ascii="Arial" w:eastAsia="Times New Roman" w:hAnsi="Arial" w:cs="Arial"/>
          <w:sz w:val="24"/>
          <w:szCs w:val="24"/>
        </w:rPr>
        <w:t xml:space="preserve"> quanto prevede l’</w:t>
      </w:r>
      <w:r w:rsidR="00AE175F" w:rsidRPr="00E97B80">
        <w:rPr>
          <w:rFonts w:ascii="Arial" w:eastAsia="Times New Roman" w:hAnsi="Arial" w:cs="Arial"/>
          <w:b/>
          <w:sz w:val="24"/>
          <w:szCs w:val="24"/>
        </w:rPr>
        <w:t>accordo</w:t>
      </w:r>
      <w:r w:rsidR="00AE175F" w:rsidRPr="008E48C7">
        <w:rPr>
          <w:rFonts w:ascii="Arial" w:eastAsia="Times New Roman" w:hAnsi="Arial" w:cs="Arial"/>
          <w:sz w:val="24"/>
          <w:szCs w:val="24"/>
        </w:rPr>
        <w:t xml:space="preserve"> sottoscritto nei giorni scorsi a </w:t>
      </w:r>
      <w:r w:rsidR="00AE175F" w:rsidRPr="00E97B80">
        <w:rPr>
          <w:rFonts w:ascii="Arial" w:eastAsia="Times New Roman" w:hAnsi="Arial" w:cs="Arial"/>
          <w:b/>
          <w:sz w:val="24"/>
          <w:szCs w:val="24"/>
        </w:rPr>
        <w:t>Bruxelles</w:t>
      </w:r>
      <w:r w:rsidR="00AE175F" w:rsidRPr="008E48C7">
        <w:rPr>
          <w:rFonts w:ascii="Arial" w:eastAsia="Times New Roman" w:hAnsi="Arial" w:cs="Arial"/>
          <w:sz w:val="24"/>
          <w:szCs w:val="24"/>
        </w:rPr>
        <w:t xml:space="preserve"> da</w:t>
      </w:r>
      <w:r>
        <w:rPr>
          <w:rFonts w:ascii="Arial" w:eastAsia="Times New Roman" w:hAnsi="Arial" w:cs="Arial"/>
          <w:sz w:val="24"/>
          <w:szCs w:val="24"/>
        </w:rPr>
        <w:t xml:space="preserve">l </w:t>
      </w:r>
      <w:r w:rsidRPr="008E48C7">
        <w:rPr>
          <w:rFonts w:ascii="Arial" w:eastAsia="Times New Roman" w:hAnsi="Arial" w:cs="Arial"/>
          <w:sz w:val="24"/>
          <w:szCs w:val="24"/>
        </w:rPr>
        <w:t>Consiglio nazionale dei dottori commercialisti ed Esperti contabili (</w:t>
      </w:r>
      <w:r w:rsidRPr="00C57D83">
        <w:rPr>
          <w:rFonts w:ascii="Arial" w:eastAsia="Times New Roman" w:hAnsi="Arial" w:cs="Arial"/>
          <w:b/>
          <w:sz w:val="24"/>
          <w:szCs w:val="24"/>
        </w:rPr>
        <w:t>CNDCEC</w:t>
      </w:r>
      <w:r w:rsidRPr="008E48C7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e dalla </w:t>
      </w:r>
      <w:r w:rsidRPr="00C57D83">
        <w:rPr>
          <w:rFonts w:ascii="Arial" w:eastAsia="Times New Roman" w:hAnsi="Arial" w:cs="Arial"/>
          <w:b/>
          <w:sz w:val="24"/>
          <w:szCs w:val="24"/>
        </w:rPr>
        <w:t>CFE</w:t>
      </w:r>
      <w:r w:rsidRPr="008E48C7">
        <w:rPr>
          <w:rFonts w:ascii="Arial" w:eastAsia="Times New Roman" w:hAnsi="Arial" w:cs="Arial"/>
          <w:sz w:val="24"/>
          <w:szCs w:val="24"/>
        </w:rPr>
        <w:t xml:space="preserve"> – Tax </w:t>
      </w:r>
      <w:proofErr w:type="spellStart"/>
      <w:r w:rsidRPr="008E48C7">
        <w:rPr>
          <w:rFonts w:ascii="Arial" w:eastAsia="Times New Roman" w:hAnsi="Arial" w:cs="Arial"/>
          <w:sz w:val="24"/>
          <w:szCs w:val="24"/>
        </w:rPr>
        <w:t>adivisers</w:t>
      </w:r>
      <w:proofErr w:type="spellEnd"/>
      <w:r w:rsidRPr="008E48C7">
        <w:rPr>
          <w:rFonts w:ascii="Arial" w:eastAsia="Times New Roman" w:hAnsi="Arial" w:cs="Arial"/>
          <w:sz w:val="24"/>
          <w:szCs w:val="24"/>
        </w:rPr>
        <w:t xml:space="preserve"> Europe</w:t>
      </w:r>
      <w:r>
        <w:rPr>
          <w:rFonts w:ascii="Arial" w:eastAsia="Times New Roman" w:hAnsi="Arial" w:cs="Arial"/>
          <w:sz w:val="24"/>
          <w:szCs w:val="24"/>
        </w:rPr>
        <w:t>. Alla stipula erano presenti</w:t>
      </w:r>
      <w:r w:rsidRPr="008E48C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AE175F" w:rsidRPr="008E48C7">
        <w:rPr>
          <w:rFonts w:ascii="Arial" w:eastAsia="Times New Roman" w:hAnsi="Arial" w:cs="Arial"/>
          <w:sz w:val="24"/>
          <w:szCs w:val="24"/>
        </w:rPr>
        <w:t>l presidente del</w:t>
      </w:r>
      <w:r>
        <w:rPr>
          <w:rFonts w:ascii="Arial" w:eastAsia="Times New Roman" w:hAnsi="Arial" w:cs="Arial"/>
          <w:sz w:val="24"/>
          <w:szCs w:val="24"/>
        </w:rPr>
        <w:t xml:space="preserve"> CNDCEC,</w:t>
      </w:r>
      <w:r w:rsidR="00AE175F" w:rsidRPr="008E48C7">
        <w:rPr>
          <w:rFonts w:ascii="Arial" w:eastAsia="Times New Roman" w:hAnsi="Arial" w:cs="Arial"/>
          <w:sz w:val="24"/>
          <w:szCs w:val="24"/>
        </w:rPr>
        <w:t xml:space="preserve"> </w:t>
      </w:r>
      <w:r w:rsidR="00AE175F" w:rsidRPr="00C57D83">
        <w:rPr>
          <w:rFonts w:ascii="Arial" w:eastAsia="Times New Roman" w:hAnsi="Arial" w:cs="Arial"/>
          <w:b/>
          <w:sz w:val="24"/>
          <w:szCs w:val="24"/>
        </w:rPr>
        <w:t>Massimo Miani</w:t>
      </w:r>
      <w:r>
        <w:rPr>
          <w:rFonts w:ascii="Arial" w:eastAsia="Times New Roman" w:hAnsi="Arial" w:cs="Arial"/>
          <w:sz w:val="24"/>
          <w:szCs w:val="24"/>
        </w:rPr>
        <w:t xml:space="preserve">, quello della CFE, </w:t>
      </w:r>
      <w:r w:rsidR="008E48C7" w:rsidRPr="00C57D83">
        <w:rPr>
          <w:rFonts w:ascii="Arial" w:eastAsia="Times New Roman" w:hAnsi="Arial" w:cs="Arial"/>
          <w:b/>
          <w:sz w:val="24"/>
          <w:szCs w:val="24"/>
        </w:rPr>
        <w:t>Piergiorgio Valente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AE175F" w:rsidRPr="008E48C7">
        <w:rPr>
          <w:rFonts w:ascii="Arial" w:eastAsia="Times New Roman" w:hAnsi="Arial" w:cs="Arial"/>
          <w:sz w:val="24"/>
          <w:szCs w:val="24"/>
        </w:rPr>
        <w:t xml:space="preserve">il Consigliere nazionale </w:t>
      </w:r>
      <w:r>
        <w:rPr>
          <w:rFonts w:ascii="Arial" w:eastAsia="Times New Roman" w:hAnsi="Arial" w:cs="Arial"/>
          <w:sz w:val="24"/>
          <w:szCs w:val="24"/>
        </w:rPr>
        <w:t xml:space="preserve">dei commercialisti </w:t>
      </w:r>
      <w:r w:rsidR="00AE175F" w:rsidRPr="008E48C7">
        <w:rPr>
          <w:rFonts w:ascii="Arial" w:eastAsia="Times New Roman" w:hAnsi="Arial" w:cs="Arial"/>
          <w:sz w:val="24"/>
          <w:szCs w:val="24"/>
        </w:rPr>
        <w:t xml:space="preserve">delegato all’internazionale, </w:t>
      </w:r>
      <w:r w:rsidR="00AE175F" w:rsidRPr="00C57D83">
        <w:rPr>
          <w:rFonts w:ascii="Arial" w:eastAsia="Times New Roman" w:hAnsi="Arial" w:cs="Arial"/>
          <w:b/>
          <w:sz w:val="24"/>
          <w:szCs w:val="24"/>
        </w:rPr>
        <w:t>Alessandro Solidoro</w:t>
      </w:r>
      <w:r>
        <w:rPr>
          <w:rFonts w:ascii="Arial" w:eastAsia="Times New Roman" w:hAnsi="Arial" w:cs="Arial"/>
          <w:sz w:val="24"/>
          <w:szCs w:val="24"/>
        </w:rPr>
        <w:t xml:space="preserve"> e </w:t>
      </w:r>
      <w:r w:rsidR="00C57D83">
        <w:rPr>
          <w:rFonts w:ascii="Arial" w:eastAsia="Times New Roman" w:hAnsi="Arial" w:cs="Arial"/>
          <w:sz w:val="24"/>
          <w:szCs w:val="24"/>
        </w:rPr>
        <w:t xml:space="preserve">il membro del board della CFE, </w:t>
      </w:r>
      <w:proofErr w:type="spellStart"/>
      <w:r w:rsidR="00C57D83" w:rsidRPr="00C57D83">
        <w:rPr>
          <w:rFonts w:ascii="Arial" w:eastAsia="Times New Roman" w:hAnsi="Arial" w:cs="Arial"/>
          <w:b/>
          <w:sz w:val="24"/>
          <w:szCs w:val="24"/>
        </w:rPr>
        <w:t>Ian</w:t>
      </w:r>
      <w:proofErr w:type="spellEnd"/>
      <w:r w:rsidR="00C57D83" w:rsidRPr="00C57D83">
        <w:rPr>
          <w:rFonts w:ascii="Arial" w:eastAsia="Times New Roman" w:hAnsi="Arial" w:cs="Arial"/>
          <w:b/>
          <w:sz w:val="24"/>
          <w:szCs w:val="24"/>
        </w:rPr>
        <w:t xml:space="preserve"> Hayes</w:t>
      </w:r>
      <w:r w:rsidR="00C57D83">
        <w:rPr>
          <w:rFonts w:ascii="Arial" w:eastAsia="Times New Roman" w:hAnsi="Arial" w:cs="Arial"/>
          <w:sz w:val="24"/>
          <w:szCs w:val="24"/>
        </w:rPr>
        <w:t xml:space="preserve">.  </w:t>
      </w:r>
      <w:r w:rsidR="00AE175F" w:rsidRPr="008E48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AE175F" w:rsidRPr="00E97B80" w:rsidRDefault="00AE175F" w:rsidP="008E48C7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E175F" w:rsidRPr="00E97B80" w:rsidRDefault="00AE175F" w:rsidP="008E48C7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E97B80">
        <w:rPr>
          <w:rFonts w:ascii="Arial" w:eastAsia="Times New Roman" w:hAnsi="Arial" w:cs="Arial"/>
          <w:b/>
          <w:bCs/>
          <w:sz w:val="24"/>
          <w:szCs w:val="24"/>
        </w:rPr>
        <w:t>Registro Europeo degli esperti in fiscalità</w:t>
      </w:r>
      <w:r w:rsidRPr="00E97B80">
        <w:rPr>
          <w:rFonts w:ascii="Arial" w:eastAsia="Times New Roman" w:hAnsi="Arial" w:cs="Arial"/>
          <w:b/>
          <w:sz w:val="24"/>
          <w:szCs w:val="24"/>
        </w:rPr>
        <w:t xml:space="preserve"> internazionale</w:t>
      </w:r>
    </w:p>
    <w:p w:rsidR="00AE175F" w:rsidRPr="008E48C7" w:rsidRDefault="00AE175F" w:rsidP="008E48C7">
      <w:pPr>
        <w:jc w:val="both"/>
        <w:rPr>
          <w:rFonts w:ascii="Arial" w:eastAsia="Times New Roman" w:hAnsi="Arial" w:cs="Arial"/>
          <w:sz w:val="24"/>
          <w:szCs w:val="24"/>
        </w:rPr>
      </w:pPr>
      <w:r w:rsidRPr="008E48C7">
        <w:rPr>
          <w:rFonts w:ascii="Arial" w:hAnsi="Arial" w:cs="Arial"/>
          <w:sz w:val="24"/>
          <w:szCs w:val="24"/>
        </w:rPr>
        <w:t xml:space="preserve">Secondo quanto sottoscritto </w:t>
      </w:r>
      <w:r w:rsidR="00C57D83">
        <w:rPr>
          <w:rFonts w:ascii="Arial" w:hAnsi="Arial" w:cs="Arial"/>
          <w:sz w:val="24"/>
          <w:szCs w:val="24"/>
        </w:rPr>
        <w:t>dalle</w:t>
      </w:r>
      <w:r w:rsidRPr="008E48C7">
        <w:rPr>
          <w:rFonts w:ascii="Arial" w:hAnsi="Arial" w:cs="Arial"/>
          <w:sz w:val="24"/>
          <w:szCs w:val="24"/>
        </w:rPr>
        <w:t xml:space="preserve"> due organizzazioni, per gli iscritti all’albo </w:t>
      </w:r>
      <w:r w:rsidR="00E97B80">
        <w:rPr>
          <w:rFonts w:ascii="Arial" w:hAnsi="Arial" w:cs="Arial"/>
          <w:sz w:val="24"/>
          <w:szCs w:val="24"/>
        </w:rPr>
        <w:t xml:space="preserve">dei commercialisti italiani </w:t>
      </w:r>
      <w:r w:rsidRPr="008E48C7">
        <w:rPr>
          <w:rFonts w:ascii="Arial" w:hAnsi="Arial" w:cs="Arial"/>
          <w:sz w:val="24"/>
          <w:szCs w:val="24"/>
        </w:rPr>
        <w:t xml:space="preserve">che abbiano particolari competenze ed esperienze in ambito di fiscalità internazionale, viene promossa la possibilità di iscriversi al </w:t>
      </w:r>
      <w:r w:rsidR="00BD437C" w:rsidRPr="008E48C7">
        <w:rPr>
          <w:rFonts w:ascii="Arial" w:hAnsi="Arial" w:cs="Arial"/>
          <w:sz w:val="24"/>
          <w:szCs w:val="24"/>
        </w:rPr>
        <w:t>R</w:t>
      </w:r>
      <w:r w:rsidRPr="008E48C7">
        <w:rPr>
          <w:rFonts w:ascii="Arial" w:hAnsi="Arial" w:cs="Arial"/>
          <w:sz w:val="24"/>
          <w:szCs w:val="24"/>
        </w:rPr>
        <w:t>egistro europeo degli esperti in fiscalità, creato e curato da molti anni dalla CFE</w:t>
      </w:r>
      <w:r w:rsidR="00E97B80">
        <w:rPr>
          <w:rFonts w:ascii="Arial" w:hAnsi="Arial" w:cs="Arial"/>
          <w:sz w:val="24"/>
          <w:szCs w:val="24"/>
        </w:rPr>
        <w:t>,</w:t>
      </w:r>
      <w:r w:rsidR="00C57D83">
        <w:rPr>
          <w:rFonts w:ascii="Arial" w:hAnsi="Arial" w:cs="Arial"/>
          <w:sz w:val="24"/>
          <w:szCs w:val="24"/>
        </w:rPr>
        <w:t xml:space="preserve"> </w:t>
      </w:r>
      <w:r w:rsidR="00E97B80">
        <w:rPr>
          <w:rFonts w:ascii="Arial" w:hAnsi="Arial" w:cs="Arial"/>
          <w:sz w:val="24"/>
          <w:szCs w:val="24"/>
        </w:rPr>
        <w:t>al quale aderisco</w:t>
      </w:r>
      <w:r w:rsidR="00C57D83">
        <w:rPr>
          <w:rFonts w:ascii="Arial" w:hAnsi="Arial" w:cs="Arial"/>
          <w:sz w:val="24"/>
          <w:szCs w:val="24"/>
        </w:rPr>
        <w:t>no</w:t>
      </w:r>
      <w:r w:rsidR="00E97B80">
        <w:rPr>
          <w:rFonts w:ascii="Arial" w:hAnsi="Arial" w:cs="Arial"/>
          <w:sz w:val="24"/>
          <w:szCs w:val="24"/>
        </w:rPr>
        <w:t xml:space="preserve"> professionisti di </w:t>
      </w:r>
      <w:r w:rsidR="00E97B80" w:rsidRPr="00C57D83">
        <w:rPr>
          <w:rFonts w:ascii="Arial" w:hAnsi="Arial" w:cs="Arial"/>
          <w:b/>
          <w:sz w:val="24"/>
          <w:szCs w:val="24"/>
        </w:rPr>
        <w:t>24 Paesi</w:t>
      </w:r>
      <w:r w:rsidRPr="008E48C7">
        <w:rPr>
          <w:rFonts w:ascii="Arial" w:hAnsi="Arial" w:cs="Arial"/>
          <w:sz w:val="24"/>
          <w:szCs w:val="24"/>
        </w:rPr>
        <w:t xml:space="preserve">. </w:t>
      </w:r>
      <w:r w:rsidR="00E97B80">
        <w:rPr>
          <w:rFonts w:ascii="Arial" w:hAnsi="Arial" w:cs="Arial"/>
          <w:sz w:val="24"/>
          <w:szCs w:val="24"/>
        </w:rPr>
        <w:t>Per i commercialisti interessati a</w:t>
      </w:r>
      <w:r w:rsidR="00C57D83">
        <w:rPr>
          <w:rFonts w:ascii="Arial" w:hAnsi="Arial" w:cs="Arial"/>
          <w:sz w:val="24"/>
          <w:szCs w:val="24"/>
        </w:rPr>
        <w:t xml:space="preserve">d </w:t>
      </w:r>
      <w:r w:rsidR="00E97B80">
        <w:rPr>
          <w:rFonts w:ascii="Arial" w:hAnsi="Arial" w:cs="Arial"/>
          <w:sz w:val="24"/>
          <w:szCs w:val="24"/>
        </w:rPr>
        <w:t xml:space="preserve">aderire al </w:t>
      </w:r>
      <w:r w:rsidR="00E97B80" w:rsidRPr="00C57D83">
        <w:rPr>
          <w:rFonts w:ascii="Arial" w:hAnsi="Arial" w:cs="Arial"/>
          <w:b/>
          <w:sz w:val="24"/>
          <w:szCs w:val="24"/>
        </w:rPr>
        <w:t>network</w:t>
      </w:r>
      <w:r w:rsidR="00E97B80">
        <w:rPr>
          <w:rFonts w:ascii="Arial" w:hAnsi="Arial" w:cs="Arial"/>
          <w:sz w:val="24"/>
          <w:szCs w:val="24"/>
        </w:rPr>
        <w:t>, l</w:t>
      </w:r>
      <w:r w:rsidRPr="008E48C7">
        <w:rPr>
          <w:rFonts w:ascii="Arial" w:hAnsi="Arial" w:cs="Arial"/>
          <w:sz w:val="24"/>
          <w:szCs w:val="24"/>
        </w:rPr>
        <w:t xml:space="preserve">’accordo prevede il sostengo del CNDCEC per </w:t>
      </w:r>
      <w:r w:rsidR="00E97B80">
        <w:rPr>
          <w:rFonts w:ascii="Arial" w:hAnsi="Arial" w:cs="Arial"/>
          <w:sz w:val="24"/>
          <w:szCs w:val="24"/>
        </w:rPr>
        <w:t xml:space="preserve">i </w:t>
      </w:r>
      <w:r w:rsidR="00E97B80" w:rsidRPr="00C57D83">
        <w:rPr>
          <w:rFonts w:ascii="Arial" w:hAnsi="Arial" w:cs="Arial"/>
          <w:b/>
          <w:sz w:val="24"/>
          <w:szCs w:val="24"/>
        </w:rPr>
        <w:t xml:space="preserve">primi </w:t>
      </w:r>
      <w:r w:rsidRPr="00C57D83">
        <w:rPr>
          <w:rFonts w:ascii="Arial" w:hAnsi="Arial" w:cs="Arial"/>
          <w:b/>
          <w:sz w:val="24"/>
          <w:szCs w:val="24"/>
        </w:rPr>
        <w:t>tre anni</w:t>
      </w:r>
      <w:r w:rsidR="00E97B80" w:rsidRPr="00C57D83">
        <w:rPr>
          <w:rFonts w:ascii="Arial" w:hAnsi="Arial" w:cs="Arial"/>
          <w:b/>
          <w:sz w:val="24"/>
          <w:szCs w:val="24"/>
        </w:rPr>
        <w:t xml:space="preserve"> di iscrizione</w:t>
      </w:r>
      <w:r w:rsidRPr="008E48C7">
        <w:rPr>
          <w:rFonts w:ascii="Arial" w:hAnsi="Arial" w:cs="Arial"/>
          <w:sz w:val="24"/>
          <w:szCs w:val="24"/>
        </w:rPr>
        <w:t xml:space="preserve">. </w:t>
      </w:r>
      <w:r w:rsidR="008E48C7" w:rsidRPr="008E48C7">
        <w:rPr>
          <w:rFonts w:ascii="Arial" w:hAnsi="Arial" w:cs="Arial"/>
          <w:sz w:val="24"/>
          <w:szCs w:val="24"/>
        </w:rPr>
        <w:t>Ai</w:t>
      </w:r>
      <w:r w:rsidRPr="008E48C7">
        <w:rPr>
          <w:rFonts w:ascii="Arial" w:hAnsi="Arial" w:cs="Arial"/>
          <w:sz w:val="24"/>
          <w:szCs w:val="24"/>
        </w:rPr>
        <w:t xml:space="preserve"> partecipanti alla rete </w:t>
      </w:r>
      <w:r w:rsidR="008E48C7" w:rsidRPr="008E48C7">
        <w:rPr>
          <w:rFonts w:ascii="Arial" w:hAnsi="Arial" w:cs="Arial"/>
          <w:sz w:val="24"/>
          <w:szCs w:val="24"/>
        </w:rPr>
        <w:t>è offerta</w:t>
      </w:r>
      <w:r w:rsidRPr="008E48C7">
        <w:rPr>
          <w:rFonts w:ascii="Arial" w:hAnsi="Arial" w:cs="Arial"/>
          <w:sz w:val="24"/>
          <w:szCs w:val="24"/>
        </w:rPr>
        <w:t xml:space="preserve"> la possibilità di accedere ad un pacchetto di documenti di analisi</w:t>
      </w:r>
      <w:r w:rsidR="008E48C7" w:rsidRPr="008E48C7">
        <w:rPr>
          <w:rFonts w:ascii="Arial" w:hAnsi="Arial" w:cs="Arial"/>
          <w:sz w:val="24"/>
          <w:szCs w:val="24"/>
        </w:rPr>
        <w:t xml:space="preserve"> e </w:t>
      </w:r>
      <w:r w:rsidRPr="008E48C7">
        <w:rPr>
          <w:rFonts w:ascii="Arial" w:hAnsi="Arial" w:cs="Arial"/>
          <w:sz w:val="24"/>
          <w:szCs w:val="24"/>
        </w:rPr>
        <w:t>supporti formativi</w:t>
      </w:r>
      <w:r w:rsidR="008E48C7" w:rsidRPr="008E48C7">
        <w:rPr>
          <w:rFonts w:ascii="Arial" w:hAnsi="Arial" w:cs="Arial"/>
          <w:sz w:val="24"/>
          <w:szCs w:val="24"/>
        </w:rPr>
        <w:t>.</w:t>
      </w:r>
    </w:p>
    <w:p w:rsidR="00AE175F" w:rsidRPr="008E48C7" w:rsidRDefault="00AE175F" w:rsidP="008E48C7">
      <w:pPr>
        <w:jc w:val="both"/>
        <w:rPr>
          <w:rFonts w:ascii="Arial" w:hAnsi="Arial" w:cs="Arial"/>
          <w:sz w:val="24"/>
          <w:szCs w:val="24"/>
        </w:rPr>
      </w:pPr>
    </w:p>
    <w:p w:rsidR="008E48C7" w:rsidRPr="008E48C7" w:rsidRDefault="008E48C7" w:rsidP="008E48C7">
      <w:pPr>
        <w:rPr>
          <w:rFonts w:ascii="Arial" w:eastAsia="Times New Roman" w:hAnsi="Arial" w:cs="Arial"/>
          <w:sz w:val="24"/>
          <w:szCs w:val="24"/>
        </w:rPr>
      </w:pPr>
      <w:r w:rsidRPr="008E48C7">
        <w:rPr>
          <w:rFonts w:ascii="Arial" w:eastAsia="Times New Roman" w:hAnsi="Arial" w:cs="Arial"/>
          <w:b/>
          <w:bCs/>
          <w:sz w:val="24"/>
          <w:szCs w:val="24"/>
        </w:rPr>
        <w:t xml:space="preserve">Corsi on line in materia di fiscalità internazionale </w:t>
      </w:r>
    </w:p>
    <w:p w:rsidR="00B0348B" w:rsidRPr="008E48C7" w:rsidRDefault="00C57D83" w:rsidP="008E48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L’accordo prevede anche la realizzazione di </w:t>
      </w:r>
      <w:r w:rsidRPr="00C57D83">
        <w:rPr>
          <w:rFonts w:ascii="Arial" w:hAnsi="Arial" w:cs="Arial"/>
          <w:b/>
          <w:sz w:val="24"/>
          <w:szCs w:val="24"/>
        </w:rPr>
        <w:t>quattro moduli</w:t>
      </w:r>
      <w:r>
        <w:rPr>
          <w:rFonts w:ascii="Arial" w:hAnsi="Arial" w:cs="Arial"/>
          <w:b/>
          <w:sz w:val="24"/>
          <w:szCs w:val="24"/>
        </w:rPr>
        <w:t xml:space="preserve"> formativi </w:t>
      </w:r>
      <w:r w:rsidRPr="008E48C7">
        <w:rPr>
          <w:rFonts w:ascii="Arial" w:hAnsi="Arial" w:cs="Arial"/>
          <w:sz w:val="24"/>
          <w:szCs w:val="24"/>
        </w:rPr>
        <w:t xml:space="preserve">di 15 ore ciascuno, </w:t>
      </w:r>
      <w:r>
        <w:rPr>
          <w:rFonts w:ascii="Arial" w:hAnsi="Arial" w:cs="Arial"/>
          <w:sz w:val="24"/>
          <w:szCs w:val="24"/>
        </w:rPr>
        <w:t>trasmessi s</w:t>
      </w:r>
      <w:r w:rsidR="00AE175F" w:rsidRPr="008E48C7">
        <w:rPr>
          <w:rFonts w:ascii="Arial" w:hAnsi="Arial" w:cs="Arial"/>
          <w:sz w:val="24"/>
          <w:szCs w:val="24"/>
        </w:rPr>
        <w:t>ulla piattaforma</w:t>
      </w:r>
      <w:r w:rsidR="008E48C7">
        <w:rPr>
          <w:rFonts w:ascii="Arial" w:hAnsi="Arial" w:cs="Arial"/>
          <w:sz w:val="24"/>
          <w:szCs w:val="24"/>
        </w:rPr>
        <w:t xml:space="preserve"> </w:t>
      </w:r>
      <w:r w:rsidR="008E48C7" w:rsidRPr="00C57D83">
        <w:rPr>
          <w:rFonts w:ascii="Arial" w:hAnsi="Arial" w:cs="Arial"/>
          <w:b/>
          <w:sz w:val="24"/>
          <w:szCs w:val="24"/>
        </w:rPr>
        <w:t>Concerto</w:t>
      </w:r>
      <w:r w:rsidR="00AE175F" w:rsidRPr="008E48C7">
        <w:rPr>
          <w:rFonts w:ascii="Arial" w:hAnsi="Arial" w:cs="Arial"/>
          <w:sz w:val="24"/>
          <w:szCs w:val="24"/>
        </w:rPr>
        <w:t>. Il primo sarà un modulo introduttivo</w:t>
      </w:r>
      <w:r>
        <w:rPr>
          <w:rFonts w:ascii="Arial" w:hAnsi="Arial" w:cs="Arial"/>
          <w:sz w:val="24"/>
          <w:szCs w:val="24"/>
        </w:rPr>
        <w:t>,</w:t>
      </w:r>
      <w:r w:rsidR="00AE175F" w:rsidRPr="008E48C7">
        <w:rPr>
          <w:rFonts w:ascii="Arial" w:hAnsi="Arial" w:cs="Arial"/>
          <w:sz w:val="24"/>
          <w:szCs w:val="24"/>
        </w:rPr>
        <w:t xml:space="preserve"> con mappatura delle principali tematiche </w:t>
      </w:r>
      <w:r w:rsidR="008E48C7">
        <w:rPr>
          <w:rFonts w:ascii="Arial" w:hAnsi="Arial" w:cs="Arial"/>
          <w:sz w:val="24"/>
          <w:szCs w:val="24"/>
        </w:rPr>
        <w:t>della fiscalità internazionale</w:t>
      </w:r>
      <w:r>
        <w:rPr>
          <w:rFonts w:ascii="Arial" w:hAnsi="Arial" w:cs="Arial"/>
          <w:sz w:val="24"/>
          <w:szCs w:val="24"/>
        </w:rPr>
        <w:t>. N</w:t>
      </w:r>
      <w:r w:rsidRPr="008E48C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</w:t>
      </w:r>
      <w:r w:rsidRPr="008E48C7">
        <w:rPr>
          <w:rFonts w:ascii="Arial" w:hAnsi="Arial" w:cs="Arial"/>
          <w:sz w:val="24"/>
          <w:szCs w:val="24"/>
        </w:rPr>
        <w:t xml:space="preserve"> moduli successivi</w:t>
      </w:r>
      <w:r>
        <w:rPr>
          <w:rFonts w:ascii="Arial" w:hAnsi="Arial" w:cs="Arial"/>
          <w:sz w:val="24"/>
          <w:szCs w:val="24"/>
        </w:rPr>
        <w:t xml:space="preserve"> si passerà</w:t>
      </w:r>
      <w:r w:rsidR="00AE175F" w:rsidRPr="008E48C7">
        <w:rPr>
          <w:rFonts w:ascii="Arial" w:hAnsi="Arial" w:cs="Arial"/>
          <w:sz w:val="24"/>
          <w:szCs w:val="24"/>
        </w:rPr>
        <w:t xml:space="preserve"> ad un esame approfondito dei temi di maggior rilievo e attualità. </w:t>
      </w:r>
      <w:r>
        <w:rPr>
          <w:rFonts w:ascii="Arial" w:hAnsi="Arial" w:cs="Arial"/>
          <w:sz w:val="24"/>
          <w:szCs w:val="24"/>
        </w:rPr>
        <w:t xml:space="preserve">Focus quindi su </w:t>
      </w:r>
      <w:r w:rsidR="00AE175F" w:rsidRPr="00C57D83">
        <w:rPr>
          <w:rFonts w:ascii="Arial" w:hAnsi="Arial" w:cs="Arial"/>
          <w:b/>
          <w:sz w:val="24"/>
          <w:szCs w:val="24"/>
        </w:rPr>
        <w:t>Tran</w:t>
      </w:r>
      <w:r w:rsidR="008E48C7" w:rsidRPr="00C57D83">
        <w:rPr>
          <w:rFonts w:ascii="Arial" w:hAnsi="Arial" w:cs="Arial"/>
          <w:b/>
          <w:sz w:val="24"/>
          <w:szCs w:val="24"/>
        </w:rPr>
        <w:t>s</w:t>
      </w:r>
      <w:r w:rsidR="00AE175F" w:rsidRPr="00C57D83">
        <w:rPr>
          <w:rFonts w:ascii="Arial" w:hAnsi="Arial" w:cs="Arial"/>
          <w:b/>
          <w:sz w:val="24"/>
          <w:szCs w:val="24"/>
        </w:rPr>
        <w:t>fer pricing</w:t>
      </w:r>
      <w:r w:rsidR="00AE175F" w:rsidRPr="008E48C7">
        <w:rPr>
          <w:rFonts w:ascii="Arial" w:hAnsi="Arial" w:cs="Arial"/>
          <w:sz w:val="24"/>
          <w:szCs w:val="24"/>
        </w:rPr>
        <w:t xml:space="preserve">, </w:t>
      </w:r>
      <w:r w:rsidR="00AE175F" w:rsidRPr="00C57D83">
        <w:rPr>
          <w:rFonts w:ascii="Arial" w:hAnsi="Arial" w:cs="Arial"/>
          <w:b/>
          <w:sz w:val="24"/>
          <w:szCs w:val="24"/>
        </w:rPr>
        <w:t>tassazione dell’economia digitale</w:t>
      </w:r>
      <w:r w:rsidR="00AE175F" w:rsidRPr="008E48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E175F" w:rsidRPr="00C57D83">
        <w:rPr>
          <w:rFonts w:ascii="Arial" w:hAnsi="Arial" w:cs="Arial"/>
          <w:b/>
          <w:sz w:val="24"/>
          <w:szCs w:val="24"/>
        </w:rPr>
        <w:t xml:space="preserve">misure per combattere evasione </w:t>
      </w:r>
      <w:r w:rsidR="00AE175F" w:rsidRPr="008E48C7">
        <w:rPr>
          <w:rFonts w:ascii="Arial" w:hAnsi="Arial" w:cs="Arial"/>
          <w:sz w:val="24"/>
          <w:szCs w:val="24"/>
        </w:rPr>
        <w:t>(anti</w:t>
      </w:r>
      <w:r w:rsidR="00271ED1">
        <w:rPr>
          <w:rFonts w:ascii="Arial" w:hAnsi="Arial" w:cs="Arial"/>
          <w:sz w:val="24"/>
          <w:szCs w:val="24"/>
        </w:rPr>
        <w:t xml:space="preserve"> tax </w:t>
      </w:r>
      <w:bookmarkStart w:id="3" w:name="_GoBack"/>
      <w:bookmarkEnd w:id="3"/>
      <w:proofErr w:type="spellStart"/>
      <w:r w:rsidR="00AE175F" w:rsidRPr="008E48C7">
        <w:rPr>
          <w:rFonts w:ascii="Arial" w:hAnsi="Arial" w:cs="Arial"/>
          <w:sz w:val="24"/>
          <w:szCs w:val="24"/>
        </w:rPr>
        <w:t>avoidance</w:t>
      </w:r>
      <w:proofErr w:type="spellEnd"/>
      <w:r w:rsidR="00AE175F" w:rsidRPr="008E48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75F" w:rsidRPr="008E48C7">
        <w:rPr>
          <w:rFonts w:ascii="Arial" w:hAnsi="Arial" w:cs="Arial"/>
          <w:sz w:val="24"/>
          <w:szCs w:val="24"/>
        </w:rPr>
        <w:t>directive</w:t>
      </w:r>
      <w:proofErr w:type="spellEnd"/>
      <w:r w:rsidR="00AE175F" w:rsidRPr="008E48C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AE175F" w:rsidRPr="008E48C7">
        <w:rPr>
          <w:rFonts w:ascii="Arial" w:hAnsi="Arial" w:cs="Arial"/>
          <w:sz w:val="24"/>
          <w:szCs w:val="24"/>
        </w:rPr>
        <w:t xml:space="preserve"> </w:t>
      </w:r>
      <w:r w:rsidR="00AE175F" w:rsidRPr="00C57D83">
        <w:rPr>
          <w:rFonts w:ascii="Arial" w:hAnsi="Arial" w:cs="Arial"/>
          <w:b/>
          <w:sz w:val="24"/>
          <w:szCs w:val="24"/>
        </w:rPr>
        <w:t>meccanismi di risoluzione delle liti in ambito fiscale</w:t>
      </w:r>
      <w:r w:rsidR="00AE175F" w:rsidRPr="008E48C7">
        <w:rPr>
          <w:rFonts w:ascii="Arial" w:hAnsi="Arial" w:cs="Arial"/>
          <w:sz w:val="24"/>
          <w:szCs w:val="24"/>
        </w:rPr>
        <w:t xml:space="preserve"> e relativo modello </w:t>
      </w:r>
      <w:r w:rsidR="008E48C7">
        <w:rPr>
          <w:rFonts w:ascii="Arial" w:hAnsi="Arial" w:cs="Arial"/>
          <w:sz w:val="24"/>
          <w:szCs w:val="24"/>
        </w:rPr>
        <w:t>OCSE</w:t>
      </w:r>
      <w:r w:rsidR="00AE175F" w:rsidRPr="008E48C7">
        <w:rPr>
          <w:rFonts w:ascii="Arial" w:hAnsi="Arial" w:cs="Arial"/>
          <w:sz w:val="24"/>
          <w:szCs w:val="24"/>
        </w:rPr>
        <w:t>. I corsi</w:t>
      </w:r>
      <w:r w:rsidR="008E48C7">
        <w:rPr>
          <w:rFonts w:ascii="Arial" w:hAnsi="Arial" w:cs="Arial"/>
          <w:sz w:val="24"/>
          <w:szCs w:val="24"/>
        </w:rPr>
        <w:t>,</w:t>
      </w:r>
      <w:r w:rsidR="00AE175F" w:rsidRPr="008E48C7">
        <w:rPr>
          <w:rFonts w:ascii="Arial" w:hAnsi="Arial" w:cs="Arial"/>
          <w:sz w:val="24"/>
          <w:szCs w:val="24"/>
        </w:rPr>
        <w:t xml:space="preserve"> gestiti con relatori designati dalla C</w:t>
      </w:r>
      <w:r>
        <w:rPr>
          <w:rFonts w:ascii="Arial" w:hAnsi="Arial" w:cs="Arial"/>
          <w:sz w:val="24"/>
          <w:szCs w:val="24"/>
        </w:rPr>
        <w:t>FE</w:t>
      </w:r>
      <w:r w:rsidR="00AE175F" w:rsidRPr="008E48C7">
        <w:rPr>
          <w:rFonts w:ascii="Arial" w:hAnsi="Arial" w:cs="Arial"/>
          <w:sz w:val="24"/>
          <w:szCs w:val="24"/>
        </w:rPr>
        <w:t xml:space="preserve"> e con possibilità di essere seguiti sia in Italia che all’estero</w:t>
      </w:r>
      <w:r w:rsidR="008E48C7">
        <w:rPr>
          <w:rFonts w:ascii="Arial" w:hAnsi="Arial" w:cs="Arial"/>
          <w:sz w:val="24"/>
          <w:szCs w:val="24"/>
        </w:rPr>
        <w:t xml:space="preserve">, </w:t>
      </w:r>
      <w:r w:rsidR="00AE175F" w:rsidRPr="008E48C7">
        <w:rPr>
          <w:rFonts w:ascii="Arial" w:hAnsi="Arial" w:cs="Arial"/>
          <w:sz w:val="24"/>
          <w:szCs w:val="24"/>
        </w:rPr>
        <w:t xml:space="preserve">si </w:t>
      </w:r>
      <w:r>
        <w:rPr>
          <w:rFonts w:ascii="Arial" w:hAnsi="Arial" w:cs="Arial"/>
          <w:sz w:val="24"/>
          <w:szCs w:val="24"/>
        </w:rPr>
        <w:t>s</w:t>
      </w:r>
      <w:r w:rsidR="00AE175F" w:rsidRPr="008E48C7">
        <w:rPr>
          <w:rFonts w:ascii="Arial" w:hAnsi="Arial" w:cs="Arial"/>
          <w:sz w:val="24"/>
          <w:szCs w:val="24"/>
        </w:rPr>
        <w:t xml:space="preserve">volgeranno tutti </w:t>
      </w:r>
      <w:r w:rsidR="00AE175F" w:rsidRPr="00C57D83">
        <w:rPr>
          <w:rFonts w:ascii="Arial" w:hAnsi="Arial" w:cs="Arial"/>
          <w:b/>
          <w:sz w:val="24"/>
          <w:szCs w:val="24"/>
        </w:rPr>
        <w:t>entro il 2019</w:t>
      </w:r>
      <w:r w:rsidR="00AE175F" w:rsidRPr="008E48C7">
        <w:rPr>
          <w:rFonts w:ascii="Arial" w:hAnsi="Arial" w:cs="Arial"/>
          <w:sz w:val="24"/>
          <w:szCs w:val="24"/>
        </w:rPr>
        <w:t>.</w:t>
      </w:r>
      <w:bookmarkEnd w:id="1"/>
      <w:bookmarkEnd w:id="2"/>
    </w:p>
    <w:sectPr w:rsidR="00B0348B" w:rsidRPr="008E4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18B" w:rsidRDefault="00CE018B" w:rsidP="0078332C">
      <w:r>
        <w:separator/>
      </w:r>
    </w:p>
  </w:endnote>
  <w:endnote w:type="continuationSeparator" w:id="0">
    <w:p w:rsidR="00CE018B" w:rsidRDefault="00CE018B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5F" w:rsidRDefault="00A847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5F" w:rsidRDefault="00A8475F" w:rsidP="00A8475F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Ufficio stampa Consiglio nazionale dei commercialisti</w:t>
    </w:r>
  </w:p>
  <w:p w:rsidR="00A8475F" w:rsidRDefault="00A8475F" w:rsidP="00A8475F">
    <w:pPr>
      <w:rPr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A8475F" w:rsidRDefault="00A8475F" w:rsidP="00A8475F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parracino@commercialisti.it</w:t>
    </w:r>
  </w:p>
  <w:p w:rsidR="00A8475F" w:rsidRDefault="00A8475F" w:rsidP="00A8475F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5F" w:rsidRDefault="00A847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18B" w:rsidRDefault="00CE018B" w:rsidP="0078332C">
      <w:r>
        <w:separator/>
      </w:r>
    </w:p>
  </w:footnote>
  <w:footnote w:type="continuationSeparator" w:id="0">
    <w:p w:rsidR="00CE018B" w:rsidRDefault="00CE018B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5F" w:rsidRDefault="00A847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5F" w:rsidRDefault="00A847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1E8C"/>
    <w:multiLevelType w:val="hybridMultilevel"/>
    <w:tmpl w:val="A56A7B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1C9C"/>
    <w:multiLevelType w:val="multilevel"/>
    <w:tmpl w:val="7DBE6E6C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" w15:restartNumberingAfterBreak="0">
    <w:nsid w:val="43931752"/>
    <w:multiLevelType w:val="hybridMultilevel"/>
    <w:tmpl w:val="AA760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32F4A"/>
    <w:multiLevelType w:val="hybridMultilevel"/>
    <w:tmpl w:val="8C9CE826"/>
    <w:lvl w:ilvl="0" w:tplc="8A72C596">
      <w:start w:val="1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15214"/>
    <w:rsid w:val="00017FFB"/>
    <w:rsid w:val="00020686"/>
    <w:rsid w:val="000329A4"/>
    <w:rsid w:val="00044942"/>
    <w:rsid w:val="000475E9"/>
    <w:rsid w:val="0006018A"/>
    <w:rsid w:val="00062B83"/>
    <w:rsid w:val="00072530"/>
    <w:rsid w:val="000827FF"/>
    <w:rsid w:val="00096075"/>
    <w:rsid w:val="00097834"/>
    <w:rsid w:val="000A2E79"/>
    <w:rsid w:val="000B70CE"/>
    <w:rsid w:val="000C19B1"/>
    <w:rsid w:val="000C4B23"/>
    <w:rsid w:val="000F42D0"/>
    <w:rsid w:val="00103B90"/>
    <w:rsid w:val="0011783B"/>
    <w:rsid w:val="00121C2D"/>
    <w:rsid w:val="0012370B"/>
    <w:rsid w:val="001267CB"/>
    <w:rsid w:val="00154327"/>
    <w:rsid w:val="00161D26"/>
    <w:rsid w:val="00163F34"/>
    <w:rsid w:val="0018350A"/>
    <w:rsid w:val="00186D75"/>
    <w:rsid w:val="00191BB6"/>
    <w:rsid w:val="00192936"/>
    <w:rsid w:val="001A2B04"/>
    <w:rsid w:val="001A49F8"/>
    <w:rsid w:val="001A4E5D"/>
    <w:rsid w:val="001B31B4"/>
    <w:rsid w:val="001B3409"/>
    <w:rsid w:val="001B6C5C"/>
    <w:rsid w:val="001C7D62"/>
    <w:rsid w:val="001C7E5F"/>
    <w:rsid w:val="001D06B4"/>
    <w:rsid w:val="001F0AE5"/>
    <w:rsid w:val="001F47AE"/>
    <w:rsid w:val="002007EC"/>
    <w:rsid w:val="00202E49"/>
    <w:rsid w:val="00212A8E"/>
    <w:rsid w:val="00223824"/>
    <w:rsid w:val="0023101D"/>
    <w:rsid w:val="00250C06"/>
    <w:rsid w:val="002529F6"/>
    <w:rsid w:val="002608B8"/>
    <w:rsid w:val="00261702"/>
    <w:rsid w:val="00271ED1"/>
    <w:rsid w:val="00272EB0"/>
    <w:rsid w:val="00273B0D"/>
    <w:rsid w:val="00281281"/>
    <w:rsid w:val="00282F12"/>
    <w:rsid w:val="002957AC"/>
    <w:rsid w:val="002A1399"/>
    <w:rsid w:val="002A7FD0"/>
    <w:rsid w:val="002B033F"/>
    <w:rsid w:val="002B1400"/>
    <w:rsid w:val="002B41C8"/>
    <w:rsid w:val="002D2034"/>
    <w:rsid w:val="002D35A4"/>
    <w:rsid w:val="002D41C3"/>
    <w:rsid w:val="002D565B"/>
    <w:rsid w:val="002D77D5"/>
    <w:rsid w:val="002E19A4"/>
    <w:rsid w:val="002E5779"/>
    <w:rsid w:val="002F21AA"/>
    <w:rsid w:val="002F6C28"/>
    <w:rsid w:val="00305148"/>
    <w:rsid w:val="00305638"/>
    <w:rsid w:val="003067AD"/>
    <w:rsid w:val="00310913"/>
    <w:rsid w:val="00315457"/>
    <w:rsid w:val="00322E62"/>
    <w:rsid w:val="003318BE"/>
    <w:rsid w:val="00332874"/>
    <w:rsid w:val="0033358C"/>
    <w:rsid w:val="003349F2"/>
    <w:rsid w:val="00342912"/>
    <w:rsid w:val="0035492F"/>
    <w:rsid w:val="003675FA"/>
    <w:rsid w:val="00373804"/>
    <w:rsid w:val="003846CE"/>
    <w:rsid w:val="003A48BD"/>
    <w:rsid w:val="003A50F9"/>
    <w:rsid w:val="003A7B1F"/>
    <w:rsid w:val="003B7AA7"/>
    <w:rsid w:val="003C0323"/>
    <w:rsid w:val="003D0BF2"/>
    <w:rsid w:val="003D3E18"/>
    <w:rsid w:val="003E0F52"/>
    <w:rsid w:val="003E30C3"/>
    <w:rsid w:val="003F6088"/>
    <w:rsid w:val="0042041A"/>
    <w:rsid w:val="00442A08"/>
    <w:rsid w:val="00444F7A"/>
    <w:rsid w:val="004548F0"/>
    <w:rsid w:val="00460726"/>
    <w:rsid w:val="00460B34"/>
    <w:rsid w:val="00477C67"/>
    <w:rsid w:val="00480469"/>
    <w:rsid w:val="00491911"/>
    <w:rsid w:val="004952FC"/>
    <w:rsid w:val="00497FD8"/>
    <w:rsid w:val="004A3A69"/>
    <w:rsid w:val="004B1132"/>
    <w:rsid w:val="004B2695"/>
    <w:rsid w:val="004C38F7"/>
    <w:rsid w:val="004D4A49"/>
    <w:rsid w:val="004D72EF"/>
    <w:rsid w:val="004E608E"/>
    <w:rsid w:val="004E7E5A"/>
    <w:rsid w:val="004E7F4F"/>
    <w:rsid w:val="004F0F61"/>
    <w:rsid w:val="00512E22"/>
    <w:rsid w:val="00534E31"/>
    <w:rsid w:val="00537DC7"/>
    <w:rsid w:val="00543860"/>
    <w:rsid w:val="00545007"/>
    <w:rsid w:val="00546289"/>
    <w:rsid w:val="00546BF0"/>
    <w:rsid w:val="00555885"/>
    <w:rsid w:val="00570197"/>
    <w:rsid w:val="00572EB5"/>
    <w:rsid w:val="0058002D"/>
    <w:rsid w:val="005816F1"/>
    <w:rsid w:val="005820B5"/>
    <w:rsid w:val="00590C67"/>
    <w:rsid w:val="00590F83"/>
    <w:rsid w:val="005A5486"/>
    <w:rsid w:val="005A7275"/>
    <w:rsid w:val="005C7544"/>
    <w:rsid w:val="005D6B7B"/>
    <w:rsid w:val="005D6EB9"/>
    <w:rsid w:val="005E36B2"/>
    <w:rsid w:val="005E4BD4"/>
    <w:rsid w:val="005F0C58"/>
    <w:rsid w:val="005F5B57"/>
    <w:rsid w:val="0060696E"/>
    <w:rsid w:val="00620212"/>
    <w:rsid w:val="00626E59"/>
    <w:rsid w:val="00626E68"/>
    <w:rsid w:val="006273CC"/>
    <w:rsid w:val="00641C3C"/>
    <w:rsid w:val="006467C7"/>
    <w:rsid w:val="00650D2D"/>
    <w:rsid w:val="00666206"/>
    <w:rsid w:val="00671C27"/>
    <w:rsid w:val="00675FE8"/>
    <w:rsid w:val="00677A10"/>
    <w:rsid w:val="00690F68"/>
    <w:rsid w:val="006A5AEA"/>
    <w:rsid w:val="006B3458"/>
    <w:rsid w:val="006C2F6E"/>
    <w:rsid w:val="006C3CAC"/>
    <w:rsid w:val="006C7100"/>
    <w:rsid w:val="006D236C"/>
    <w:rsid w:val="006D387C"/>
    <w:rsid w:val="006D60D3"/>
    <w:rsid w:val="006E2989"/>
    <w:rsid w:val="006E2EA4"/>
    <w:rsid w:val="006F175A"/>
    <w:rsid w:val="006F70F8"/>
    <w:rsid w:val="007114F1"/>
    <w:rsid w:val="00720024"/>
    <w:rsid w:val="0074254F"/>
    <w:rsid w:val="00752C6B"/>
    <w:rsid w:val="00764D9D"/>
    <w:rsid w:val="00775661"/>
    <w:rsid w:val="00782159"/>
    <w:rsid w:val="0078332C"/>
    <w:rsid w:val="00794FCF"/>
    <w:rsid w:val="007A7E77"/>
    <w:rsid w:val="007B47B4"/>
    <w:rsid w:val="007B6AC0"/>
    <w:rsid w:val="007B7197"/>
    <w:rsid w:val="007C14B1"/>
    <w:rsid w:val="007D030A"/>
    <w:rsid w:val="007D6905"/>
    <w:rsid w:val="007E25D0"/>
    <w:rsid w:val="007F7ECA"/>
    <w:rsid w:val="00800937"/>
    <w:rsid w:val="008267D2"/>
    <w:rsid w:val="0084360C"/>
    <w:rsid w:val="008538EB"/>
    <w:rsid w:val="008543B0"/>
    <w:rsid w:val="00867283"/>
    <w:rsid w:val="00872890"/>
    <w:rsid w:val="0087523A"/>
    <w:rsid w:val="00875736"/>
    <w:rsid w:val="008823BE"/>
    <w:rsid w:val="008866FA"/>
    <w:rsid w:val="00892C1F"/>
    <w:rsid w:val="008A09EA"/>
    <w:rsid w:val="008A6D39"/>
    <w:rsid w:val="008D69D8"/>
    <w:rsid w:val="008E48C7"/>
    <w:rsid w:val="009051EC"/>
    <w:rsid w:val="00924F9F"/>
    <w:rsid w:val="0093096C"/>
    <w:rsid w:val="00951A3C"/>
    <w:rsid w:val="00961263"/>
    <w:rsid w:val="00963401"/>
    <w:rsid w:val="009709AD"/>
    <w:rsid w:val="00986756"/>
    <w:rsid w:val="00997933"/>
    <w:rsid w:val="009A1CAE"/>
    <w:rsid w:val="009B6165"/>
    <w:rsid w:val="009D138B"/>
    <w:rsid w:val="009D485A"/>
    <w:rsid w:val="009F3B00"/>
    <w:rsid w:val="00A07FB9"/>
    <w:rsid w:val="00A12594"/>
    <w:rsid w:val="00A14347"/>
    <w:rsid w:val="00A14764"/>
    <w:rsid w:val="00A22933"/>
    <w:rsid w:val="00A233CB"/>
    <w:rsid w:val="00A26406"/>
    <w:rsid w:val="00A34135"/>
    <w:rsid w:val="00A35A75"/>
    <w:rsid w:val="00A4420A"/>
    <w:rsid w:val="00A47FEA"/>
    <w:rsid w:val="00A56C23"/>
    <w:rsid w:val="00A67348"/>
    <w:rsid w:val="00A7311A"/>
    <w:rsid w:val="00A74A8A"/>
    <w:rsid w:val="00A837E6"/>
    <w:rsid w:val="00A8475F"/>
    <w:rsid w:val="00A95375"/>
    <w:rsid w:val="00A96364"/>
    <w:rsid w:val="00A978FD"/>
    <w:rsid w:val="00AA7145"/>
    <w:rsid w:val="00AB5991"/>
    <w:rsid w:val="00AB7ADE"/>
    <w:rsid w:val="00AC053D"/>
    <w:rsid w:val="00AD6437"/>
    <w:rsid w:val="00AE0EB1"/>
    <w:rsid w:val="00AE175F"/>
    <w:rsid w:val="00AE1B46"/>
    <w:rsid w:val="00AE3DBA"/>
    <w:rsid w:val="00AF1493"/>
    <w:rsid w:val="00AF37AC"/>
    <w:rsid w:val="00AF3B8B"/>
    <w:rsid w:val="00AF40EF"/>
    <w:rsid w:val="00AF593F"/>
    <w:rsid w:val="00B01322"/>
    <w:rsid w:val="00B02EEF"/>
    <w:rsid w:val="00B0348B"/>
    <w:rsid w:val="00B14747"/>
    <w:rsid w:val="00B169EB"/>
    <w:rsid w:val="00B244EE"/>
    <w:rsid w:val="00B2607D"/>
    <w:rsid w:val="00B37BB9"/>
    <w:rsid w:val="00B608D6"/>
    <w:rsid w:val="00B77DD8"/>
    <w:rsid w:val="00B80328"/>
    <w:rsid w:val="00B82041"/>
    <w:rsid w:val="00B874BD"/>
    <w:rsid w:val="00B9352C"/>
    <w:rsid w:val="00B93B7C"/>
    <w:rsid w:val="00B96F60"/>
    <w:rsid w:val="00BC4560"/>
    <w:rsid w:val="00BC766D"/>
    <w:rsid w:val="00BD0510"/>
    <w:rsid w:val="00BD437C"/>
    <w:rsid w:val="00BE4997"/>
    <w:rsid w:val="00BF6F48"/>
    <w:rsid w:val="00C03728"/>
    <w:rsid w:val="00C12899"/>
    <w:rsid w:val="00C13B95"/>
    <w:rsid w:val="00C26374"/>
    <w:rsid w:val="00C27CA3"/>
    <w:rsid w:val="00C342D6"/>
    <w:rsid w:val="00C528AF"/>
    <w:rsid w:val="00C57D83"/>
    <w:rsid w:val="00C6126D"/>
    <w:rsid w:val="00C769FB"/>
    <w:rsid w:val="00C82E4F"/>
    <w:rsid w:val="00C9107A"/>
    <w:rsid w:val="00C92A52"/>
    <w:rsid w:val="00C92F98"/>
    <w:rsid w:val="00C93B05"/>
    <w:rsid w:val="00CA234F"/>
    <w:rsid w:val="00CA5B6F"/>
    <w:rsid w:val="00CB51DE"/>
    <w:rsid w:val="00CC1A3B"/>
    <w:rsid w:val="00CE018B"/>
    <w:rsid w:val="00CE0295"/>
    <w:rsid w:val="00CE164D"/>
    <w:rsid w:val="00CE493C"/>
    <w:rsid w:val="00CF3E5E"/>
    <w:rsid w:val="00CF5AAB"/>
    <w:rsid w:val="00D0565B"/>
    <w:rsid w:val="00D10DE0"/>
    <w:rsid w:val="00D16030"/>
    <w:rsid w:val="00D20C91"/>
    <w:rsid w:val="00D23EE4"/>
    <w:rsid w:val="00D267BC"/>
    <w:rsid w:val="00D301C8"/>
    <w:rsid w:val="00D3620A"/>
    <w:rsid w:val="00D36928"/>
    <w:rsid w:val="00D61E3E"/>
    <w:rsid w:val="00D645B8"/>
    <w:rsid w:val="00D7796E"/>
    <w:rsid w:val="00D8228E"/>
    <w:rsid w:val="00D86C56"/>
    <w:rsid w:val="00DA0174"/>
    <w:rsid w:val="00DA57E3"/>
    <w:rsid w:val="00DB31F0"/>
    <w:rsid w:val="00DF1387"/>
    <w:rsid w:val="00DF7F3F"/>
    <w:rsid w:val="00E018F4"/>
    <w:rsid w:val="00E43464"/>
    <w:rsid w:val="00E512F2"/>
    <w:rsid w:val="00E621E5"/>
    <w:rsid w:val="00E80FCD"/>
    <w:rsid w:val="00E82696"/>
    <w:rsid w:val="00E83254"/>
    <w:rsid w:val="00E92062"/>
    <w:rsid w:val="00E96CB8"/>
    <w:rsid w:val="00E97B80"/>
    <w:rsid w:val="00E97BC0"/>
    <w:rsid w:val="00EB4A49"/>
    <w:rsid w:val="00EB4D0A"/>
    <w:rsid w:val="00EC6A83"/>
    <w:rsid w:val="00EC74C8"/>
    <w:rsid w:val="00ED2BA2"/>
    <w:rsid w:val="00ED7E04"/>
    <w:rsid w:val="00EE0275"/>
    <w:rsid w:val="00EE61E7"/>
    <w:rsid w:val="00EE7FC7"/>
    <w:rsid w:val="00EF5B0E"/>
    <w:rsid w:val="00F12009"/>
    <w:rsid w:val="00F12406"/>
    <w:rsid w:val="00F141DB"/>
    <w:rsid w:val="00F14F90"/>
    <w:rsid w:val="00F163A3"/>
    <w:rsid w:val="00F20639"/>
    <w:rsid w:val="00F2596D"/>
    <w:rsid w:val="00F409A6"/>
    <w:rsid w:val="00F50B95"/>
    <w:rsid w:val="00F5457A"/>
    <w:rsid w:val="00F601CB"/>
    <w:rsid w:val="00F7125B"/>
    <w:rsid w:val="00F73AC3"/>
    <w:rsid w:val="00F85998"/>
    <w:rsid w:val="00F97331"/>
    <w:rsid w:val="00FA0B81"/>
    <w:rsid w:val="00FA62A2"/>
    <w:rsid w:val="00FA67B4"/>
    <w:rsid w:val="00FB039F"/>
    <w:rsid w:val="00FC274B"/>
    <w:rsid w:val="00FC600A"/>
    <w:rsid w:val="00FE0498"/>
    <w:rsid w:val="00FE070C"/>
    <w:rsid w:val="00FE7799"/>
    <w:rsid w:val="00FF2981"/>
    <w:rsid w:val="00FF367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DA48F"/>
  <w15:chartTrackingRefBased/>
  <w15:docId w15:val="{C3D09AC2-497A-4FBC-ABF2-BE5859A1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D38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1BB6"/>
    <w:rPr>
      <w:rFonts w:ascii="Calibri" w:hAnsi="Calibri" w:cs="Consolas"/>
      <w:szCs w:val="21"/>
    </w:rPr>
  </w:style>
  <w:style w:type="paragraph" w:customStyle="1" w:styleId="cpv">
    <w:name w:val="cpv"/>
    <w:uiPriority w:val="99"/>
    <w:rsid w:val="00A26406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6406"/>
    <w:rPr>
      <w:color w:val="0563C1" w:themeColor="hyperlink"/>
      <w:u w:val="single"/>
    </w:rPr>
  </w:style>
  <w:style w:type="numbering" w:customStyle="1" w:styleId="List0">
    <w:name w:val="List 0"/>
    <w:basedOn w:val="Nessunelenco"/>
    <w:rsid w:val="000475E9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2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27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6D38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D387C"/>
  </w:style>
  <w:style w:type="character" w:styleId="Enfasigrassetto">
    <w:name w:val="Strong"/>
    <w:basedOn w:val="Carpredefinitoparagrafo"/>
    <w:uiPriority w:val="22"/>
    <w:qFormat/>
    <w:rsid w:val="006D387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3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tegorianews">
    <w:name w:val="categorianews"/>
    <w:basedOn w:val="Carpredefinitoparagrafo"/>
    <w:rsid w:val="007B6AC0"/>
  </w:style>
  <w:style w:type="character" w:customStyle="1" w:styleId="titolonewsstile1">
    <w:name w:val="titolonewsstile1"/>
    <w:basedOn w:val="Carpredefinitoparagrafo"/>
    <w:rsid w:val="007B6AC0"/>
  </w:style>
  <w:style w:type="character" w:customStyle="1" w:styleId="abstractnewsstile1">
    <w:name w:val="abstractnewsstile1"/>
    <w:basedOn w:val="Carpredefinitoparagrafo"/>
    <w:rsid w:val="007B6AC0"/>
  </w:style>
  <w:style w:type="paragraph" w:customStyle="1" w:styleId="Default">
    <w:name w:val="Default"/>
    <w:rsid w:val="009D48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9D485A"/>
    <w:rPr>
      <w:vertAlign w:val="superscript"/>
    </w:rPr>
  </w:style>
  <w:style w:type="paragraph" w:customStyle="1" w:styleId="xmsonormal">
    <w:name w:val="x_msonormal"/>
    <w:rsid w:val="003C032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3C0323"/>
    <w:rPr>
      <w:lang w:val="it-IT"/>
    </w:rPr>
  </w:style>
  <w:style w:type="paragraph" w:styleId="Titolo">
    <w:name w:val="Title"/>
    <w:basedOn w:val="Normale"/>
    <w:link w:val="TitoloCarattere"/>
    <w:qFormat/>
    <w:rsid w:val="00B0348B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 w:cs="Times New Roman"/>
      <w:b/>
      <w:smallCaps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0348B"/>
    <w:rPr>
      <w:rFonts w:ascii="Arial" w:eastAsia="Times New Roman" w:hAnsi="Arial" w:cs="Times New Roman"/>
      <w:b/>
      <w:smallCaps/>
      <w:sz w:val="4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A4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AE175F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54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9609-4B12-405F-9BDD-A3E78B4C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6</cp:revision>
  <cp:lastPrinted>2017-11-29T14:32:00Z</cp:lastPrinted>
  <dcterms:created xsi:type="dcterms:W3CDTF">2019-06-13T13:50:00Z</dcterms:created>
  <dcterms:modified xsi:type="dcterms:W3CDTF">2019-06-14T08:41:00Z</dcterms:modified>
</cp:coreProperties>
</file>