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Default="00A06F8E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565AFF03" w14:textId="77777777" w:rsidR="00321FE4" w:rsidRDefault="00321FE4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bookmarkStart w:id="0" w:name="_Hlk114743328"/>
    </w:p>
    <w:p w14:paraId="49C9E57E" w14:textId="66904211" w:rsidR="009A3EB5" w:rsidRDefault="009A3EB5" w:rsidP="00B230EE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0"/>
    <w:p w14:paraId="04E807BA" w14:textId="77777777" w:rsidR="00443668" w:rsidRPr="00443668" w:rsidRDefault="00443668" w:rsidP="00B230EE">
      <w:pPr>
        <w:jc w:val="both"/>
        <w:rPr>
          <w:rFonts w:ascii="Arial" w:hAnsi="Arial" w:cs="Arial"/>
          <w:sz w:val="24"/>
          <w:szCs w:val="24"/>
        </w:rPr>
      </w:pPr>
    </w:p>
    <w:p w14:paraId="2EF98DF9" w14:textId="319B3873" w:rsidR="00733FA5" w:rsidRDefault="00733FA5" w:rsidP="00B230EE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733FA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COMMERCIALISTI, ACCELERARE SU ASSUNZIONE </w:t>
      </w:r>
      <w:r w:rsidR="00577A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MAGISTRATI</w:t>
      </w:r>
      <w:r w:rsidRPr="00733FA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TRIBUTARI</w:t>
      </w:r>
    </w:p>
    <w:p w14:paraId="2A072DA9" w14:textId="77777777" w:rsidR="00733FA5" w:rsidRPr="00733FA5" w:rsidRDefault="00733FA5" w:rsidP="00B230EE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563D082" w14:textId="53E177BB" w:rsidR="00733FA5" w:rsidRPr="00733FA5" w:rsidRDefault="00733FA5" w:rsidP="00B230EE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 Nuccio all’</w:t>
      </w:r>
      <w:r w:rsidRPr="00733FA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inaugurazione dell’anno giudiziario tributario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 “</w:t>
      </w:r>
      <w:r w:rsidR="00577A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Anticipare il primo concorso e ampliare il numero di posti da bandire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” </w:t>
      </w:r>
    </w:p>
    <w:p w14:paraId="29B9ACB3" w14:textId="1A6D8F39" w:rsidR="00733FA5" w:rsidRPr="00733FA5" w:rsidRDefault="00733FA5" w:rsidP="00B230EE">
      <w:pPr>
        <w:shd w:val="clear" w:color="auto" w:fill="FFFFFF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0D160459" w14:textId="5EE3ECFB" w:rsidR="00733FA5" w:rsidRPr="00733FA5" w:rsidRDefault="00733FA5" w:rsidP="00B230EE">
      <w:pPr>
        <w:shd w:val="clear" w:color="auto" w:fill="FFFFFF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4B6360">
        <w:rPr>
          <w:rFonts w:ascii="Arial" w:eastAsia="Times New Roman" w:hAnsi="Arial" w:cs="Arial"/>
          <w:bCs/>
          <w:i/>
          <w:iCs/>
          <w:sz w:val="24"/>
          <w:szCs w:val="24"/>
          <w:lang w:eastAsia="it-IT"/>
        </w:rPr>
        <w:t>Roma, 14 marzo 2023</w:t>
      </w:r>
      <w:r w:rsidRPr="00733F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– “La riforma della giustizia tributaria del 2022 ha finalmente certificato la nascita della </w:t>
      </w:r>
      <w:r w:rsidRPr="00F12536">
        <w:rPr>
          <w:rFonts w:ascii="Arial" w:eastAsia="Times New Roman" w:hAnsi="Arial" w:cs="Arial"/>
          <w:b/>
          <w:sz w:val="24"/>
          <w:szCs w:val="24"/>
          <w:lang w:eastAsia="it-IT"/>
        </w:rPr>
        <w:t>magistratura tributaria</w:t>
      </w:r>
      <w:r w:rsidRPr="00733F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, il cui elemento qualificante è quello di garantire una più spiccata </w:t>
      </w:r>
      <w:r w:rsidRPr="00F12536">
        <w:rPr>
          <w:rFonts w:ascii="Arial" w:eastAsia="Times New Roman" w:hAnsi="Arial" w:cs="Arial"/>
          <w:b/>
          <w:sz w:val="24"/>
          <w:szCs w:val="24"/>
          <w:lang w:eastAsia="it-IT"/>
        </w:rPr>
        <w:t>professionalizzazione e specializzazione</w:t>
      </w:r>
      <w:r w:rsidRPr="00733F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dell’organo giudicante, attraverso il reclutamento di </w:t>
      </w:r>
      <w:r w:rsidRPr="00F12536">
        <w:rPr>
          <w:rFonts w:ascii="Arial" w:eastAsia="Times New Roman" w:hAnsi="Arial" w:cs="Arial"/>
          <w:b/>
          <w:sz w:val="24"/>
          <w:szCs w:val="24"/>
          <w:lang w:eastAsia="it-IT"/>
        </w:rPr>
        <w:t>giudici a tempo pieno</w:t>
      </w:r>
      <w:r w:rsidRPr="00733F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, selezionati per concorso.  L’istituzione di questa magistratura rappresenta un </w:t>
      </w:r>
      <w:r w:rsidRPr="00F12536">
        <w:rPr>
          <w:rFonts w:ascii="Arial" w:eastAsia="Times New Roman" w:hAnsi="Arial" w:cs="Arial"/>
          <w:b/>
          <w:sz w:val="24"/>
          <w:szCs w:val="24"/>
          <w:lang w:eastAsia="it-IT"/>
        </w:rPr>
        <w:t>risultato importantissimo</w:t>
      </w:r>
      <w:r w:rsidRPr="00733F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, che il Consiglio nazionale dei Commercialisti ha fortemente sostenuto e che non può essere </w:t>
      </w:r>
      <w:r w:rsidRPr="00F12536">
        <w:rPr>
          <w:rFonts w:ascii="Arial" w:eastAsia="Times New Roman" w:hAnsi="Arial" w:cs="Arial"/>
          <w:b/>
          <w:sz w:val="24"/>
          <w:szCs w:val="24"/>
          <w:lang w:eastAsia="it-IT"/>
        </w:rPr>
        <w:t>messo in discussione</w:t>
      </w:r>
      <w:r w:rsidRPr="00733F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. Piuttosto, per un </w:t>
      </w:r>
      <w:r w:rsidRPr="00F12536">
        <w:rPr>
          <w:rFonts w:ascii="Arial" w:eastAsia="Times New Roman" w:hAnsi="Arial" w:cs="Arial"/>
          <w:b/>
          <w:sz w:val="24"/>
          <w:szCs w:val="24"/>
          <w:lang w:eastAsia="it-IT"/>
        </w:rPr>
        <w:t>più rapido popolamento</w:t>
      </w:r>
      <w:r w:rsidRPr="00733F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del ruolo dei nuovi magistrati tributari e per una più efficace e celere messa a regime della riforma occorre che il legislatore intervenga rispetto alla prevista </w:t>
      </w:r>
      <w:r w:rsidRPr="00F12536">
        <w:rPr>
          <w:rFonts w:ascii="Arial" w:eastAsia="Times New Roman" w:hAnsi="Arial" w:cs="Arial"/>
          <w:b/>
          <w:sz w:val="24"/>
          <w:szCs w:val="24"/>
          <w:lang w:eastAsia="it-IT"/>
        </w:rPr>
        <w:t>assunzione</w:t>
      </w:r>
      <w:r w:rsidRPr="00733F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tramite concorso di </w:t>
      </w:r>
      <w:r w:rsidRPr="00F12536">
        <w:rPr>
          <w:rFonts w:ascii="Arial" w:eastAsia="Times New Roman" w:hAnsi="Arial" w:cs="Arial"/>
          <w:b/>
          <w:sz w:val="24"/>
          <w:szCs w:val="24"/>
          <w:lang w:eastAsia="it-IT"/>
        </w:rPr>
        <w:t>68 nuovi magistrati tributari per ciascuno dei 7 anni dal 2024 al 2030 (per un totale di 476 unità).</w:t>
      </w:r>
      <w:r w:rsidRPr="00733F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Essendo infatti improbabile che si riescano a svolgere 7 concorsi in 7 anni, è necessario </w:t>
      </w:r>
      <w:r w:rsidRPr="00F12536">
        <w:rPr>
          <w:rFonts w:ascii="Arial" w:eastAsia="Times New Roman" w:hAnsi="Arial" w:cs="Arial"/>
          <w:b/>
          <w:sz w:val="24"/>
          <w:szCs w:val="24"/>
          <w:lang w:eastAsia="it-IT"/>
        </w:rPr>
        <w:t>rinfoltire quanto più possibile</w:t>
      </w:r>
      <w:r w:rsidRPr="00733F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– anche nell’ottica del principio di economicità delle procedure – il numero dei posti da bandire con il </w:t>
      </w:r>
      <w:r w:rsidRPr="00F12536">
        <w:rPr>
          <w:rFonts w:ascii="Arial" w:eastAsia="Times New Roman" w:hAnsi="Arial" w:cs="Arial"/>
          <w:b/>
          <w:sz w:val="24"/>
          <w:szCs w:val="24"/>
          <w:lang w:eastAsia="it-IT"/>
        </w:rPr>
        <w:t>primo concorso</w:t>
      </w:r>
      <w:r w:rsidRPr="00733F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nonché </w:t>
      </w:r>
      <w:r w:rsidRPr="00F12536">
        <w:rPr>
          <w:rFonts w:ascii="Arial" w:eastAsia="Times New Roman" w:hAnsi="Arial" w:cs="Arial"/>
          <w:b/>
          <w:sz w:val="24"/>
          <w:szCs w:val="24"/>
          <w:lang w:eastAsia="it-IT"/>
        </w:rPr>
        <w:t>anticipare a quest’anno</w:t>
      </w:r>
      <w:r w:rsidRPr="00733F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l’avvio della procedura concorsuale stessa”. È questa una delle proposte avanzate dal presidente del Consiglio nazionale dei commercialisti, </w:t>
      </w:r>
      <w:r w:rsidRPr="00F12536">
        <w:rPr>
          <w:rFonts w:ascii="Arial" w:eastAsia="Times New Roman" w:hAnsi="Arial" w:cs="Arial"/>
          <w:b/>
          <w:sz w:val="24"/>
          <w:szCs w:val="24"/>
          <w:lang w:eastAsia="it-IT"/>
        </w:rPr>
        <w:t>Elbano de Nuccio</w:t>
      </w:r>
      <w:r w:rsidRPr="00733FA5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, nel corso del suo intervento alla cerimonia di inaugurazione dell’anno giudiziario tributario, svoltasi oggi a Roma. </w:t>
      </w:r>
    </w:p>
    <w:p w14:paraId="565FF2DA" w14:textId="69073AD0" w:rsidR="00733FA5" w:rsidRDefault="00733FA5" w:rsidP="00B230EE">
      <w:pPr>
        <w:shd w:val="clear" w:color="auto" w:fill="FFFFFF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64012686" w14:textId="77777777" w:rsidR="00086639" w:rsidRDefault="00733FA5" w:rsidP="00B230EE">
      <w:pPr>
        <w:shd w:val="clear" w:color="auto" w:fill="FFFFFF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F1253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De Nuccio ha poi sottolineato l’importanza, tra le disposizioni sul processo tributario, </w:t>
      </w:r>
      <w:r w:rsidR="0008663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di </w:t>
      </w:r>
      <w:r w:rsidR="00F12536" w:rsidRPr="00F12536">
        <w:rPr>
          <w:rFonts w:ascii="Arial" w:eastAsia="Times New Roman" w:hAnsi="Arial" w:cs="Arial"/>
          <w:bCs/>
          <w:sz w:val="24"/>
          <w:szCs w:val="24"/>
          <w:lang w:eastAsia="it-IT"/>
        </w:rPr>
        <w:t>quella</w:t>
      </w:r>
      <w:r w:rsidRPr="00F1253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relativa all’espressa codificazione del </w:t>
      </w:r>
      <w:r w:rsidRPr="00086639">
        <w:rPr>
          <w:rFonts w:ascii="Arial" w:eastAsia="Times New Roman" w:hAnsi="Arial" w:cs="Arial"/>
          <w:b/>
          <w:sz w:val="24"/>
          <w:szCs w:val="24"/>
          <w:lang w:eastAsia="it-IT"/>
        </w:rPr>
        <w:t>principio dell’onere della prova</w:t>
      </w:r>
      <w:r w:rsidRPr="00F1253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. Al riguardo, l’auspicio dei commercialisti “è che i giudici sappiano e vogliano riconoscere e valorizzare gli </w:t>
      </w:r>
      <w:r w:rsidRPr="00086639">
        <w:rPr>
          <w:rFonts w:ascii="Arial" w:eastAsia="Times New Roman" w:hAnsi="Arial" w:cs="Arial"/>
          <w:b/>
          <w:sz w:val="24"/>
          <w:szCs w:val="24"/>
          <w:lang w:eastAsia="it-IT"/>
        </w:rPr>
        <w:t>elementi di assoluta novità e specificità</w:t>
      </w:r>
      <w:r w:rsidRPr="00F1253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con i quali il legislatore ha inteso declinare detto principio in ambito tributario, in conformità ai principi del </w:t>
      </w:r>
      <w:r w:rsidRPr="00086639">
        <w:rPr>
          <w:rFonts w:ascii="Arial" w:eastAsia="Times New Roman" w:hAnsi="Arial" w:cs="Arial"/>
          <w:b/>
          <w:sz w:val="24"/>
          <w:szCs w:val="24"/>
          <w:lang w:eastAsia="it-IT"/>
        </w:rPr>
        <w:t>giusto processo</w:t>
      </w:r>
      <w:r w:rsidRPr="00F1253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e della </w:t>
      </w:r>
      <w:r w:rsidRPr="00086639">
        <w:rPr>
          <w:rFonts w:ascii="Arial" w:eastAsia="Times New Roman" w:hAnsi="Arial" w:cs="Arial"/>
          <w:b/>
          <w:sz w:val="24"/>
          <w:szCs w:val="24"/>
          <w:lang w:eastAsia="it-IT"/>
        </w:rPr>
        <w:t>parità delle parti</w:t>
      </w:r>
      <w:r w:rsidRPr="00F1253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. Non credo si possa derubricare l’intenzione del legislatore della riforma nella semplice riproduzione del principio codificato nell’articolo 2697 del </w:t>
      </w:r>
      <w:proofErr w:type="gramStart"/>
      <w:r w:rsidRPr="00F12536">
        <w:rPr>
          <w:rFonts w:ascii="Arial" w:eastAsia="Times New Roman" w:hAnsi="Arial" w:cs="Arial"/>
          <w:bCs/>
          <w:sz w:val="24"/>
          <w:szCs w:val="24"/>
          <w:lang w:eastAsia="it-IT"/>
        </w:rPr>
        <w:t>codice civile</w:t>
      </w:r>
      <w:proofErr w:type="gramEnd"/>
      <w:r w:rsidRPr="00F1253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(già ritenuto pacificamente applicabile nel processo tributario), essendo invece evidente la volontà di fornire al giudice una </w:t>
      </w:r>
      <w:r w:rsidRPr="00086639">
        <w:rPr>
          <w:rFonts w:ascii="Arial" w:eastAsia="Times New Roman" w:hAnsi="Arial" w:cs="Arial"/>
          <w:b/>
          <w:sz w:val="24"/>
          <w:szCs w:val="24"/>
          <w:lang w:eastAsia="it-IT"/>
        </w:rPr>
        <w:t>regola di giudizio più rigorosa</w:t>
      </w:r>
      <w:r w:rsidRPr="00F12536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in particolare in presenza di </w:t>
      </w:r>
      <w:r w:rsidRPr="00086639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accertamenti di natura presuntiva </w:t>
      </w:r>
      <w:r w:rsidRPr="00F12536">
        <w:rPr>
          <w:rFonts w:ascii="Arial" w:eastAsia="Times New Roman" w:hAnsi="Arial" w:cs="Arial"/>
          <w:bCs/>
          <w:sz w:val="24"/>
          <w:szCs w:val="24"/>
          <w:lang w:eastAsia="it-IT"/>
        </w:rPr>
        <w:t>particolarmente frequenti nella nostra materia”.</w:t>
      </w:r>
    </w:p>
    <w:p w14:paraId="15036217" w14:textId="77777777" w:rsidR="00086639" w:rsidRDefault="00086639" w:rsidP="00B230EE">
      <w:pPr>
        <w:shd w:val="clear" w:color="auto" w:fill="FFFFFF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147E028A" w14:textId="77777777" w:rsidR="00F26E53" w:rsidRDefault="00086639" w:rsidP="00B230EE">
      <w:pPr>
        <w:shd w:val="clear" w:color="auto" w:fill="FFFFFF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>Quella della giustizia tributaria, ha proseguito, “è dunque n</w:t>
      </w:r>
      <w:r w:rsidR="00733FA5"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el complesso una </w:t>
      </w:r>
      <w:r w:rsidR="00733FA5" w:rsidRPr="00577AFD">
        <w:rPr>
          <w:rFonts w:ascii="Arial" w:eastAsia="Times New Roman" w:hAnsi="Arial" w:cs="Arial"/>
          <w:b/>
          <w:sz w:val="24"/>
          <w:szCs w:val="24"/>
          <w:lang w:eastAsia="it-IT"/>
        </w:rPr>
        <w:t>buona</w:t>
      </w:r>
      <w:r w:rsidR="003E7F9C" w:rsidRPr="00577AF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="00733FA5" w:rsidRPr="00577AFD">
        <w:rPr>
          <w:rFonts w:ascii="Arial" w:eastAsia="Times New Roman" w:hAnsi="Arial" w:cs="Arial"/>
          <w:b/>
          <w:sz w:val="24"/>
          <w:szCs w:val="24"/>
          <w:lang w:eastAsia="it-IT"/>
        </w:rPr>
        <w:t>riforma</w:t>
      </w:r>
      <w:r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>,</w:t>
      </w:r>
      <w:r w:rsidR="00733FA5"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nonostante la </w:t>
      </w:r>
      <w:r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>parte processuali manchi</w:t>
      </w:r>
      <w:r w:rsidR="00733FA5"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di quella </w:t>
      </w:r>
      <w:r w:rsidR="00733FA5" w:rsidRPr="00577AFD">
        <w:rPr>
          <w:rFonts w:ascii="Arial" w:eastAsia="Times New Roman" w:hAnsi="Arial" w:cs="Arial"/>
          <w:b/>
          <w:sz w:val="24"/>
          <w:szCs w:val="24"/>
          <w:lang w:eastAsia="it-IT"/>
        </w:rPr>
        <w:t>sistematicità e organicità</w:t>
      </w:r>
      <w:r w:rsidR="00733FA5"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che una riforma di carattere strutturale avrebbe richiesto.</w:t>
      </w:r>
      <w:r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733FA5"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Ed è infatti in relazione alle norme processuali che restano “sul tappeto” taluni aspetti di criticità sui quali occorrerà intervenire al più presto. Mi riferisco, in particolare, a una </w:t>
      </w:r>
      <w:r w:rsidR="00733FA5" w:rsidRPr="00577AFD">
        <w:rPr>
          <w:rFonts w:ascii="Arial" w:eastAsia="Times New Roman" w:hAnsi="Arial" w:cs="Arial"/>
          <w:b/>
          <w:sz w:val="24"/>
          <w:szCs w:val="24"/>
          <w:lang w:eastAsia="it-IT"/>
        </w:rPr>
        <w:t>maggiore effettività della tutela del contribuente</w:t>
      </w:r>
      <w:r w:rsidR="00733FA5"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nei confronti del </w:t>
      </w:r>
      <w:r w:rsidR="00733FA5" w:rsidRPr="00577AFD">
        <w:rPr>
          <w:rFonts w:ascii="Arial" w:eastAsia="Times New Roman" w:hAnsi="Arial" w:cs="Arial"/>
          <w:b/>
          <w:sz w:val="24"/>
          <w:szCs w:val="24"/>
          <w:lang w:eastAsia="it-IT"/>
        </w:rPr>
        <w:t>silenzio/diniego di autotutela</w:t>
      </w:r>
      <w:r w:rsidR="00733FA5"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, a una più puntuale disciplina degli effetti processuali del </w:t>
      </w:r>
      <w:r w:rsidR="00733FA5" w:rsidRPr="00577AFD">
        <w:rPr>
          <w:rFonts w:ascii="Arial" w:eastAsia="Times New Roman" w:hAnsi="Arial" w:cs="Arial"/>
          <w:b/>
          <w:sz w:val="24"/>
          <w:szCs w:val="24"/>
          <w:lang w:eastAsia="it-IT"/>
        </w:rPr>
        <w:t>litisconsorzio necessario</w:t>
      </w:r>
      <w:r w:rsidR="00733FA5"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o, ancora, all’applicazione del principio della </w:t>
      </w:r>
      <w:r w:rsidR="00733FA5" w:rsidRPr="00577AFD">
        <w:rPr>
          <w:rFonts w:ascii="Arial" w:eastAsia="Times New Roman" w:hAnsi="Arial" w:cs="Arial"/>
          <w:b/>
          <w:sz w:val="24"/>
          <w:szCs w:val="24"/>
          <w:lang w:eastAsia="it-IT"/>
        </w:rPr>
        <w:t>soccombenza virtuale</w:t>
      </w:r>
      <w:r w:rsidR="00733FA5"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in caso di cessazione della materia del contendere e all’eliminazione della condanna alle spese nella fase cautelare.</w:t>
      </w:r>
      <w:r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733FA5"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La spinta impressa dal legislatore alla specializzazione del giudice tributario e l’estremo tecnicismo delle materie da sottoporre al loro scrutinio richiederebbero altresì un parallelo adeguamento delle norme </w:t>
      </w:r>
      <w:r w:rsidR="00733FA5"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lastRenderedPageBreak/>
        <w:t xml:space="preserve">in materia di abilitazione all’assistenza tecnica che sarebbe opportuno limitare ai </w:t>
      </w:r>
      <w:r w:rsidR="00733FA5" w:rsidRPr="00577AFD">
        <w:rPr>
          <w:rFonts w:ascii="Arial" w:eastAsia="Times New Roman" w:hAnsi="Arial" w:cs="Arial"/>
          <w:b/>
          <w:sz w:val="24"/>
          <w:szCs w:val="24"/>
          <w:lang w:eastAsia="it-IT"/>
        </w:rPr>
        <w:t>professionisti iscritti negli albi degli avvocati, commercialisti e consulenti del lavoro</w:t>
      </w:r>
      <w:r w:rsidR="00733FA5"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>, gli unici in grado di garantire il tecnicismo e la specializzazione necessari per la pienezza, integrità ed efficacia delle facoltà difensive</w:t>
      </w:r>
      <w:r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>”</w:t>
      </w:r>
      <w:r w:rsidR="00733FA5"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>.</w:t>
      </w:r>
      <w:r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</w:p>
    <w:p w14:paraId="2EDA2AB9" w14:textId="084D31D9" w:rsidR="00733FA5" w:rsidRPr="00086639" w:rsidRDefault="00086639" w:rsidP="00B230EE">
      <w:pPr>
        <w:shd w:val="clear" w:color="auto" w:fill="FFFFFF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086639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Il presidente della categoria ha infine chiesto </w:t>
      </w:r>
      <w:r w:rsidRPr="0008663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l’</w:t>
      </w:r>
      <w:r w:rsidRPr="00577AF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abrogazione</w:t>
      </w:r>
      <w:r w:rsidRPr="0008663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dell</w:t>
      </w:r>
      <w:r w:rsidRPr="00086639">
        <w:rPr>
          <w:rStyle w:val="Enfasigrassetto"/>
          <w:rFonts w:ascii="Arial" w:hAnsi="Arial" w:cs="Arial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’</w:t>
      </w:r>
      <w:r w:rsidRPr="00086639">
        <w:rPr>
          <w:rStyle w:val="Enfasigrassetto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innalzamento a </w:t>
      </w:r>
      <w:r w:rsidRPr="00577AFD">
        <w:rPr>
          <w:rStyle w:val="Enfasigrassetto"/>
          <w:rFonts w:ascii="Arial" w:hAnsi="Arial" w:cs="Arial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5.000 euro</w:t>
      </w:r>
      <w:r w:rsidRPr="0008663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 del limite di valore per il </w:t>
      </w:r>
      <w:r w:rsidRPr="00086639">
        <w:rPr>
          <w:rStyle w:val="Enfasigrassetto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giudizio monocratico</w:t>
      </w:r>
      <w:r w:rsidRPr="0008663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 tributario di primo grado, per tutelare così il </w:t>
      </w:r>
      <w:r w:rsidRPr="00086639">
        <w:rPr>
          <w:rStyle w:val="Enfasigrassetto"/>
          <w:rFonts w:ascii="Arial" w:hAnsi="Arial" w:cs="Arial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valore della collegialità</w:t>
      </w:r>
      <w:r w:rsidRPr="0008663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 degli organi di giustizia tributaria. </w:t>
      </w:r>
    </w:p>
    <w:p w14:paraId="02A5CB16" w14:textId="77777777" w:rsidR="00733FA5" w:rsidRPr="00733FA5" w:rsidRDefault="00733FA5" w:rsidP="00B230EE">
      <w:pPr>
        <w:shd w:val="clear" w:color="auto" w:fill="FFFFFF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6D16F01F" w14:textId="77777777" w:rsidR="00733FA5" w:rsidRPr="00733FA5" w:rsidRDefault="00733FA5" w:rsidP="00B230EE">
      <w:pPr>
        <w:shd w:val="clear" w:color="auto" w:fill="FFFFFF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sectPr w:rsidR="00733FA5" w:rsidRPr="00733FA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94357" w14:textId="77777777" w:rsidR="00E24200" w:rsidRDefault="00E24200" w:rsidP="0078332C">
      <w:r>
        <w:separator/>
      </w:r>
    </w:p>
  </w:endnote>
  <w:endnote w:type="continuationSeparator" w:id="0">
    <w:p w14:paraId="150CCE9D" w14:textId="77777777" w:rsidR="00E24200" w:rsidRDefault="00E24200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7092" w14:textId="77777777" w:rsidR="00E24200" w:rsidRDefault="00E24200" w:rsidP="0078332C">
      <w:r>
        <w:separator/>
      </w:r>
    </w:p>
  </w:footnote>
  <w:footnote w:type="continuationSeparator" w:id="0">
    <w:p w14:paraId="572C5B3E" w14:textId="77777777" w:rsidR="00E24200" w:rsidRDefault="00E24200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311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FC95A1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6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730967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977099023">
    <w:abstractNumId w:val="10"/>
  </w:num>
  <w:num w:numId="2" w16cid:durableId="219825531">
    <w:abstractNumId w:val="6"/>
  </w:num>
  <w:num w:numId="3" w16cid:durableId="748229942">
    <w:abstractNumId w:val="12"/>
  </w:num>
  <w:num w:numId="4" w16cid:durableId="812481146">
    <w:abstractNumId w:val="7"/>
  </w:num>
  <w:num w:numId="5" w16cid:durableId="1558662176">
    <w:abstractNumId w:val="18"/>
  </w:num>
  <w:num w:numId="6" w16cid:durableId="1164662252">
    <w:abstractNumId w:val="4"/>
  </w:num>
  <w:num w:numId="7" w16cid:durableId="347413329">
    <w:abstractNumId w:val="0"/>
  </w:num>
  <w:num w:numId="8" w16cid:durableId="1163857069">
    <w:abstractNumId w:val="15"/>
  </w:num>
  <w:num w:numId="9" w16cid:durableId="676422017">
    <w:abstractNumId w:val="8"/>
  </w:num>
  <w:num w:numId="10" w16cid:durableId="1534149371">
    <w:abstractNumId w:val="8"/>
  </w:num>
  <w:num w:numId="11" w16cid:durableId="1273395234">
    <w:abstractNumId w:val="9"/>
  </w:num>
  <w:num w:numId="12" w16cid:durableId="1941331629">
    <w:abstractNumId w:val="2"/>
  </w:num>
  <w:num w:numId="13" w16cid:durableId="1405957949">
    <w:abstractNumId w:val="16"/>
  </w:num>
  <w:num w:numId="14" w16cid:durableId="168955128">
    <w:abstractNumId w:val="3"/>
  </w:num>
  <w:num w:numId="15" w16cid:durableId="1305089526">
    <w:abstractNumId w:val="9"/>
    <w:lvlOverride w:ilvl="0">
      <w:startOverride w:val="1"/>
    </w:lvlOverride>
  </w:num>
  <w:num w:numId="16" w16cid:durableId="185944484">
    <w:abstractNumId w:val="3"/>
    <w:lvlOverride w:ilvl="0">
      <w:startOverride w:val="1"/>
    </w:lvlOverride>
  </w:num>
  <w:num w:numId="17" w16cid:durableId="1712531944">
    <w:abstractNumId w:val="1"/>
  </w:num>
  <w:num w:numId="18" w16cid:durableId="742990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9980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656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07036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351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870668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02125790">
    <w:abstractNumId w:val="14"/>
  </w:num>
  <w:num w:numId="25" w16cid:durableId="1414159061">
    <w:abstractNumId w:val="11"/>
  </w:num>
  <w:num w:numId="26" w16cid:durableId="322855116">
    <w:abstractNumId w:val="5"/>
  </w:num>
  <w:num w:numId="27" w16cid:durableId="765274455">
    <w:abstractNumId w:val="13"/>
  </w:num>
  <w:num w:numId="28" w16cid:durableId="11551011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86639"/>
    <w:rsid w:val="00090CE4"/>
    <w:rsid w:val="0009108B"/>
    <w:rsid w:val="00093834"/>
    <w:rsid w:val="00096D5B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493C"/>
    <w:rsid w:val="000E5756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3DF2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33D0"/>
    <w:rsid w:val="00294D14"/>
    <w:rsid w:val="002973C7"/>
    <w:rsid w:val="002978C9"/>
    <w:rsid w:val="00297CA4"/>
    <w:rsid w:val="002A1399"/>
    <w:rsid w:val="002A3814"/>
    <w:rsid w:val="002A59A1"/>
    <w:rsid w:val="002A70B5"/>
    <w:rsid w:val="002A76BF"/>
    <w:rsid w:val="002A7C92"/>
    <w:rsid w:val="002A7CF4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E7F9C"/>
    <w:rsid w:val="003F7A1D"/>
    <w:rsid w:val="00400CE9"/>
    <w:rsid w:val="00422B71"/>
    <w:rsid w:val="0042489D"/>
    <w:rsid w:val="004251EF"/>
    <w:rsid w:val="00434025"/>
    <w:rsid w:val="00443042"/>
    <w:rsid w:val="00443668"/>
    <w:rsid w:val="00452258"/>
    <w:rsid w:val="00456CEA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44B8"/>
    <w:rsid w:val="004A6888"/>
    <w:rsid w:val="004B21EA"/>
    <w:rsid w:val="004B2695"/>
    <w:rsid w:val="004B6360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21A7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77AFD"/>
    <w:rsid w:val="0058002D"/>
    <w:rsid w:val="005809E5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4F"/>
    <w:rsid w:val="005F5B57"/>
    <w:rsid w:val="005F684F"/>
    <w:rsid w:val="0060588F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6501"/>
    <w:rsid w:val="00677A10"/>
    <w:rsid w:val="00684F9D"/>
    <w:rsid w:val="00690A41"/>
    <w:rsid w:val="00691FBF"/>
    <w:rsid w:val="006A0B5D"/>
    <w:rsid w:val="006A0D3B"/>
    <w:rsid w:val="006A4451"/>
    <w:rsid w:val="006A617A"/>
    <w:rsid w:val="006B322C"/>
    <w:rsid w:val="006B7375"/>
    <w:rsid w:val="006C3945"/>
    <w:rsid w:val="006C6818"/>
    <w:rsid w:val="006C6D0E"/>
    <w:rsid w:val="006C7063"/>
    <w:rsid w:val="006E43CD"/>
    <w:rsid w:val="006F4DC7"/>
    <w:rsid w:val="00715BA2"/>
    <w:rsid w:val="00717DC7"/>
    <w:rsid w:val="00726188"/>
    <w:rsid w:val="007262E1"/>
    <w:rsid w:val="00733FA5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A2C15"/>
    <w:rsid w:val="007C0C2D"/>
    <w:rsid w:val="007C14B1"/>
    <w:rsid w:val="007C3A93"/>
    <w:rsid w:val="007C5CCD"/>
    <w:rsid w:val="007D296F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15DE"/>
    <w:rsid w:val="00832BE3"/>
    <w:rsid w:val="00841053"/>
    <w:rsid w:val="0084346A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4FB"/>
    <w:rsid w:val="008C5ED3"/>
    <w:rsid w:val="008C7690"/>
    <w:rsid w:val="008D5C4B"/>
    <w:rsid w:val="008E141E"/>
    <w:rsid w:val="008F7C2D"/>
    <w:rsid w:val="00900B88"/>
    <w:rsid w:val="0090302C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5839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0667D"/>
    <w:rsid w:val="00B066AD"/>
    <w:rsid w:val="00B14747"/>
    <w:rsid w:val="00B15621"/>
    <w:rsid w:val="00B230EE"/>
    <w:rsid w:val="00B34200"/>
    <w:rsid w:val="00B42691"/>
    <w:rsid w:val="00B51B4A"/>
    <w:rsid w:val="00B62562"/>
    <w:rsid w:val="00B738BB"/>
    <w:rsid w:val="00B74510"/>
    <w:rsid w:val="00B8310D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40C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1E28"/>
    <w:rsid w:val="00C156F9"/>
    <w:rsid w:val="00C27F27"/>
    <w:rsid w:val="00C302BD"/>
    <w:rsid w:val="00C30E85"/>
    <w:rsid w:val="00C33494"/>
    <w:rsid w:val="00C342D6"/>
    <w:rsid w:val="00C418FB"/>
    <w:rsid w:val="00C43099"/>
    <w:rsid w:val="00C51F27"/>
    <w:rsid w:val="00C57B7C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5672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09D"/>
    <w:rsid w:val="00D14366"/>
    <w:rsid w:val="00D21FB3"/>
    <w:rsid w:val="00D234CB"/>
    <w:rsid w:val="00D27080"/>
    <w:rsid w:val="00D37415"/>
    <w:rsid w:val="00D41CE0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4200"/>
    <w:rsid w:val="00E27BC3"/>
    <w:rsid w:val="00E30769"/>
    <w:rsid w:val="00E3236B"/>
    <w:rsid w:val="00E33070"/>
    <w:rsid w:val="00E3336E"/>
    <w:rsid w:val="00E3435A"/>
    <w:rsid w:val="00E42ED7"/>
    <w:rsid w:val="00E45552"/>
    <w:rsid w:val="00E54468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1017"/>
    <w:rsid w:val="00EE3C69"/>
    <w:rsid w:val="00EE51A4"/>
    <w:rsid w:val="00EF49EF"/>
    <w:rsid w:val="00EF561D"/>
    <w:rsid w:val="00EF57D4"/>
    <w:rsid w:val="00EF7D25"/>
    <w:rsid w:val="00F00503"/>
    <w:rsid w:val="00F01EA9"/>
    <w:rsid w:val="00F066B1"/>
    <w:rsid w:val="00F079D1"/>
    <w:rsid w:val="00F12536"/>
    <w:rsid w:val="00F177D2"/>
    <w:rsid w:val="00F26E53"/>
    <w:rsid w:val="00F30A50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cp:lastPrinted>2023-03-08T09:55:00Z</cp:lastPrinted>
  <dcterms:created xsi:type="dcterms:W3CDTF">2023-03-14T11:47:00Z</dcterms:created>
  <dcterms:modified xsi:type="dcterms:W3CDTF">2023-03-14T12:53:00Z</dcterms:modified>
</cp:coreProperties>
</file>