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FF03" w14:textId="77777777" w:rsidR="00321FE4" w:rsidRPr="00731ED1" w:rsidRDefault="00321FE4" w:rsidP="009A3EB5">
      <w:pPr>
        <w:pStyle w:val="xmsonormal0"/>
        <w:shd w:val="clear" w:color="auto" w:fill="FFFFFF"/>
        <w:jc w:val="center"/>
        <w:rPr>
          <w:rFonts w:ascii="Arial" w:hAnsi="Arial" w:cs="Arial"/>
          <w:b/>
          <w:bCs/>
          <w:color w:val="000000"/>
          <w:sz w:val="23"/>
          <w:szCs w:val="23"/>
          <w:u w:val="single"/>
          <w:bdr w:val="none" w:sz="0" w:space="0" w:color="auto" w:frame="1"/>
        </w:rPr>
      </w:pPr>
      <w:bookmarkStart w:id="0" w:name="_Hlk114743328"/>
    </w:p>
    <w:bookmarkEnd w:id="0"/>
    <w:p w14:paraId="50645754" w14:textId="77777777" w:rsidR="00E031B9" w:rsidRDefault="00E031B9" w:rsidP="00E031B9">
      <w:pPr>
        <w:shd w:val="clear" w:color="auto" w:fill="FFFFFF"/>
        <w:jc w:val="center"/>
        <w:rPr>
          <w:rFonts w:ascii="Arial" w:hAnsi="Arial" w:cs="Arial"/>
          <w:b/>
          <w:bCs/>
          <w:sz w:val="24"/>
          <w:szCs w:val="24"/>
        </w:rPr>
      </w:pPr>
    </w:p>
    <w:p w14:paraId="6FBE9B55" w14:textId="16BC49B5" w:rsidR="00E031B9" w:rsidRPr="00E031B9" w:rsidRDefault="00E031B9" w:rsidP="00E031B9">
      <w:pPr>
        <w:shd w:val="clear" w:color="auto" w:fill="FFFFFF"/>
        <w:jc w:val="center"/>
        <w:rPr>
          <w:rFonts w:ascii="Arial" w:hAnsi="Arial" w:cs="Arial"/>
          <w:b/>
          <w:bCs/>
          <w:sz w:val="24"/>
          <w:szCs w:val="24"/>
          <w:u w:val="single"/>
        </w:rPr>
      </w:pPr>
      <w:r w:rsidRPr="00E031B9">
        <w:rPr>
          <w:rFonts w:ascii="Arial" w:hAnsi="Arial" w:cs="Arial"/>
          <w:b/>
          <w:bCs/>
          <w:sz w:val="24"/>
          <w:szCs w:val="24"/>
          <w:u w:val="single"/>
        </w:rPr>
        <w:t xml:space="preserve">Comunicato stampa  </w:t>
      </w:r>
    </w:p>
    <w:p w14:paraId="7E59F500" w14:textId="77777777" w:rsidR="00E031B9" w:rsidRPr="00E031B9" w:rsidRDefault="00E031B9" w:rsidP="00E031B9">
      <w:pPr>
        <w:shd w:val="clear" w:color="auto" w:fill="FFFFFF"/>
        <w:jc w:val="center"/>
        <w:rPr>
          <w:rFonts w:ascii="Arial" w:hAnsi="Arial" w:cs="Arial"/>
          <w:b/>
          <w:bCs/>
          <w:sz w:val="24"/>
          <w:szCs w:val="24"/>
        </w:rPr>
      </w:pPr>
      <w:r w:rsidRPr="00E031B9">
        <w:rPr>
          <w:rFonts w:ascii="Arial" w:hAnsi="Arial" w:cs="Arial"/>
          <w:b/>
          <w:bCs/>
          <w:sz w:val="24"/>
          <w:szCs w:val="24"/>
        </w:rPr>
        <w:t xml:space="preserve"> </w:t>
      </w:r>
    </w:p>
    <w:p w14:paraId="5C18FB35" w14:textId="77777777" w:rsidR="00E031B9" w:rsidRPr="00E031B9" w:rsidRDefault="00E031B9" w:rsidP="00E031B9">
      <w:pPr>
        <w:shd w:val="clear" w:color="auto" w:fill="FFFFFF"/>
        <w:jc w:val="center"/>
        <w:rPr>
          <w:rFonts w:ascii="Arial" w:hAnsi="Arial" w:cs="Arial"/>
          <w:b/>
          <w:bCs/>
          <w:sz w:val="24"/>
          <w:szCs w:val="24"/>
        </w:rPr>
      </w:pPr>
      <w:r w:rsidRPr="00E031B9">
        <w:rPr>
          <w:rFonts w:ascii="Arial" w:hAnsi="Arial" w:cs="Arial"/>
          <w:b/>
          <w:bCs/>
          <w:sz w:val="24"/>
          <w:szCs w:val="24"/>
        </w:rPr>
        <w:t xml:space="preserve"> </w:t>
      </w:r>
    </w:p>
    <w:p w14:paraId="456A03FC" w14:textId="77777777" w:rsidR="00E031B9" w:rsidRPr="00E031B9" w:rsidRDefault="00E031B9" w:rsidP="00E031B9">
      <w:pPr>
        <w:shd w:val="clear" w:color="auto" w:fill="FFFFFF"/>
        <w:jc w:val="center"/>
        <w:rPr>
          <w:rFonts w:ascii="Arial" w:hAnsi="Arial" w:cs="Arial"/>
          <w:b/>
          <w:bCs/>
          <w:sz w:val="24"/>
          <w:szCs w:val="24"/>
        </w:rPr>
      </w:pPr>
      <w:r w:rsidRPr="00E031B9">
        <w:rPr>
          <w:rFonts w:ascii="Arial" w:hAnsi="Arial" w:cs="Arial"/>
          <w:b/>
          <w:bCs/>
          <w:sz w:val="24"/>
          <w:szCs w:val="24"/>
        </w:rPr>
        <w:t xml:space="preserve">SUPERBONUS: COMMERCIALISTI, SUL REQUISITO SOA CHIARIMENTI NON PIU’ RINVIABILI </w:t>
      </w:r>
    </w:p>
    <w:p w14:paraId="0F27AB53" w14:textId="77777777" w:rsidR="00E031B9" w:rsidRPr="00E031B9" w:rsidRDefault="00E031B9" w:rsidP="00E031B9">
      <w:pPr>
        <w:shd w:val="clear" w:color="auto" w:fill="FFFFFF"/>
        <w:jc w:val="center"/>
        <w:rPr>
          <w:rFonts w:ascii="Arial" w:hAnsi="Arial" w:cs="Arial"/>
          <w:b/>
          <w:bCs/>
          <w:sz w:val="24"/>
          <w:szCs w:val="24"/>
        </w:rPr>
      </w:pPr>
      <w:r w:rsidRPr="00E031B9">
        <w:rPr>
          <w:rFonts w:ascii="Arial" w:hAnsi="Arial" w:cs="Arial"/>
          <w:b/>
          <w:bCs/>
          <w:sz w:val="24"/>
          <w:szCs w:val="24"/>
        </w:rPr>
        <w:t xml:space="preserve"> </w:t>
      </w:r>
    </w:p>
    <w:p w14:paraId="7FE43B48" w14:textId="347722A9" w:rsidR="00E031B9" w:rsidRDefault="00E031B9" w:rsidP="00E031B9">
      <w:pPr>
        <w:shd w:val="clear" w:color="auto" w:fill="FFFFFF"/>
        <w:jc w:val="center"/>
        <w:rPr>
          <w:rFonts w:ascii="Arial" w:hAnsi="Arial" w:cs="Arial"/>
          <w:b/>
          <w:bCs/>
          <w:sz w:val="24"/>
          <w:szCs w:val="24"/>
        </w:rPr>
      </w:pPr>
      <w:r w:rsidRPr="00E031B9">
        <w:rPr>
          <w:rFonts w:ascii="Arial" w:hAnsi="Arial" w:cs="Arial"/>
          <w:b/>
          <w:bCs/>
          <w:sz w:val="24"/>
          <w:szCs w:val="24"/>
        </w:rPr>
        <w:t xml:space="preserve">Il Consiglio nazionale scrive a MEF e Agenzia delle Entrate </w:t>
      </w:r>
    </w:p>
    <w:p w14:paraId="59796B82" w14:textId="77777777" w:rsidR="00E031B9" w:rsidRPr="00E031B9" w:rsidRDefault="00E031B9" w:rsidP="00E031B9">
      <w:pPr>
        <w:shd w:val="clear" w:color="auto" w:fill="FFFFFF"/>
        <w:jc w:val="center"/>
        <w:rPr>
          <w:rFonts w:ascii="Arial" w:hAnsi="Arial" w:cs="Arial"/>
          <w:b/>
          <w:bCs/>
          <w:sz w:val="24"/>
          <w:szCs w:val="24"/>
        </w:rPr>
      </w:pPr>
    </w:p>
    <w:p w14:paraId="71C338D5" w14:textId="77777777" w:rsidR="00E031B9" w:rsidRPr="00E031B9" w:rsidRDefault="00E031B9" w:rsidP="00E031B9">
      <w:pPr>
        <w:shd w:val="clear" w:color="auto" w:fill="FFFFFF"/>
        <w:jc w:val="center"/>
        <w:rPr>
          <w:rFonts w:ascii="Arial" w:hAnsi="Arial" w:cs="Arial"/>
          <w:sz w:val="24"/>
          <w:szCs w:val="24"/>
        </w:rPr>
      </w:pPr>
      <w:r w:rsidRPr="00E031B9">
        <w:rPr>
          <w:rFonts w:ascii="Arial" w:hAnsi="Arial" w:cs="Arial"/>
          <w:sz w:val="24"/>
          <w:szCs w:val="24"/>
        </w:rPr>
        <w:t xml:space="preserve"> </w:t>
      </w:r>
    </w:p>
    <w:p w14:paraId="696830FF" w14:textId="77777777" w:rsidR="00E031B9" w:rsidRPr="00E031B9" w:rsidRDefault="00E031B9" w:rsidP="00E031B9">
      <w:pPr>
        <w:shd w:val="clear" w:color="auto" w:fill="FFFFFF"/>
        <w:jc w:val="both"/>
        <w:rPr>
          <w:rFonts w:ascii="Arial" w:hAnsi="Arial" w:cs="Arial"/>
          <w:sz w:val="24"/>
          <w:szCs w:val="24"/>
        </w:rPr>
      </w:pPr>
      <w:r w:rsidRPr="00E031B9">
        <w:rPr>
          <w:rFonts w:ascii="Arial" w:hAnsi="Arial" w:cs="Arial"/>
          <w:i/>
          <w:iCs/>
          <w:sz w:val="24"/>
          <w:szCs w:val="24"/>
        </w:rPr>
        <w:t>Roma, 14 febbraio 2023</w:t>
      </w:r>
      <w:r w:rsidRPr="00E031B9">
        <w:rPr>
          <w:rFonts w:ascii="Arial" w:hAnsi="Arial" w:cs="Arial"/>
          <w:sz w:val="24"/>
          <w:szCs w:val="24"/>
        </w:rPr>
        <w:t xml:space="preserve"> – Con una lettera indirizzata al Ministro dell’Economia e delle Finanze, </w:t>
      </w:r>
      <w:r w:rsidRPr="00E031B9">
        <w:rPr>
          <w:rFonts w:ascii="Arial" w:hAnsi="Arial" w:cs="Arial"/>
          <w:b/>
          <w:bCs/>
          <w:sz w:val="24"/>
          <w:szCs w:val="24"/>
        </w:rPr>
        <w:t>Giancarlo Giorgetti</w:t>
      </w:r>
      <w:r w:rsidRPr="00E031B9">
        <w:rPr>
          <w:rFonts w:ascii="Arial" w:hAnsi="Arial" w:cs="Arial"/>
          <w:sz w:val="24"/>
          <w:szCs w:val="24"/>
        </w:rPr>
        <w:t xml:space="preserve">, al Viceministro, </w:t>
      </w:r>
      <w:r w:rsidRPr="00E031B9">
        <w:rPr>
          <w:rFonts w:ascii="Arial" w:hAnsi="Arial" w:cs="Arial"/>
          <w:b/>
          <w:bCs/>
          <w:sz w:val="24"/>
          <w:szCs w:val="24"/>
        </w:rPr>
        <w:t>Maurizio Leo</w:t>
      </w:r>
      <w:r w:rsidRPr="00E031B9">
        <w:rPr>
          <w:rFonts w:ascii="Arial" w:hAnsi="Arial" w:cs="Arial"/>
          <w:sz w:val="24"/>
          <w:szCs w:val="24"/>
        </w:rPr>
        <w:t xml:space="preserve">, e al Direttore dell’Agenzia delle Entrate, </w:t>
      </w:r>
      <w:r w:rsidRPr="00E031B9">
        <w:rPr>
          <w:rFonts w:ascii="Arial" w:hAnsi="Arial" w:cs="Arial"/>
          <w:b/>
          <w:bCs/>
          <w:sz w:val="24"/>
          <w:szCs w:val="24"/>
        </w:rPr>
        <w:t>Ernesto Maria Ruffini</w:t>
      </w:r>
      <w:r w:rsidRPr="00E031B9">
        <w:rPr>
          <w:rFonts w:ascii="Arial" w:hAnsi="Arial" w:cs="Arial"/>
          <w:sz w:val="24"/>
          <w:szCs w:val="24"/>
        </w:rPr>
        <w:t xml:space="preserve">, il Consiglio Nazionale dei Dottori Commercialisti e degli Esperti Contabili ha chiesto un intervento interpretativo urgente in merito al regime transitorio applicabile in materia di requisito SOA per gli interventi edilizi ammessi al Superbonus. </w:t>
      </w:r>
    </w:p>
    <w:p w14:paraId="5D2C9CF2" w14:textId="77777777" w:rsidR="00E031B9" w:rsidRPr="00E031B9" w:rsidRDefault="00E031B9" w:rsidP="00E031B9">
      <w:pPr>
        <w:shd w:val="clear" w:color="auto" w:fill="FFFFFF"/>
        <w:jc w:val="both"/>
        <w:rPr>
          <w:rFonts w:ascii="Arial" w:hAnsi="Arial" w:cs="Arial"/>
          <w:sz w:val="24"/>
          <w:szCs w:val="24"/>
        </w:rPr>
      </w:pPr>
      <w:r w:rsidRPr="00E031B9">
        <w:rPr>
          <w:rFonts w:ascii="Arial" w:hAnsi="Arial" w:cs="Arial"/>
          <w:sz w:val="24"/>
          <w:szCs w:val="24"/>
        </w:rPr>
        <w:t xml:space="preserve"> </w:t>
      </w:r>
    </w:p>
    <w:p w14:paraId="138DE8DA" w14:textId="77777777" w:rsidR="00E031B9" w:rsidRPr="00E031B9" w:rsidRDefault="00E031B9" w:rsidP="00E031B9">
      <w:pPr>
        <w:shd w:val="clear" w:color="auto" w:fill="FFFFFF"/>
        <w:jc w:val="both"/>
        <w:rPr>
          <w:rFonts w:ascii="Arial" w:hAnsi="Arial" w:cs="Arial"/>
          <w:sz w:val="24"/>
          <w:szCs w:val="24"/>
        </w:rPr>
      </w:pPr>
      <w:r w:rsidRPr="00E031B9">
        <w:rPr>
          <w:rFonts w:ascii="Arial" w:hAnsi="Arial" w:cs="Arial"/>
          <w:sz w:val="24"/>
          <w:szCs w:val="24"/>
        </w:rPr>
        <w:t xml:space="preserve">Per il Presidente </w:t>
      </w:r>
      <w:r w:rsidRPr="00E031B9">
        <w:rPr>
          <w:rFonts w:ascii="Arial" w:hAnsi="Arial" w:cs="Arial"/>
          <w:b/>
          <w:bCs/>
          <w:sz w:val="24"/>
          <w:szCs w:val="24"/>
        </w:rPr>
        <w:t>Elbano de Nuccio</w:t>
      </w:r>
      <w:r w:rsidRPr="00E031B9">
        <w:rPr>
          <w:rFonts w:ascii="Arial" w:hAnsi="Arial" w:cs="Arial"/>
          <w:sz w:val="24"/>
          <w:szCs w:val="24"/>
        </w:rPr>
        <w:t xml:space="preserve"> “il non perfetto coordinamento delle disposizioni in materia ha ingenerato numerosi dubbi interpretativi che stanno determinando l’ennesimo stallo nelle procedure di acquisizione dei crediti da parte delle banche, in quanto gli </w:t>
      </w:r>
      <w:r w:rsidRPr="005B22FD">
        <w:rPr>
          <w:rFonts w:ascii="Arial" w:hAnsi="Arial" w:cs="Arial"/>
          <w:i/>
          <w:iCs/>
          <w:sz w:val="24"/>
          <w:szCs w:val="24"/>
        </w:rPr>
        <w:t>advisor</w:t>
      </w:r>
      <w:r w:rsidRPr="00E031B9">
        <w:rPr>
          <w:rFonts w:ascii="Arial" w:hAnsi="Arial" w:cs="Arial"/>
          <w:sz w:val="24"/>
          <w:szCs w:val="24"/>
        </w:rPr>
        <w:t xml:space="preserve"> da queste incaricati per verificare la regolarità della documentazione a supporto dei crediti, in assenza di chiarimenti ufficiali sul predetto regime transitorio, stanno mantenendo, in via prudenziale, comportamenti cautelativi”. “La problematica – prosegue de Nuccio – è particolarmente evidente per i contratti di appalto e subappalto sottoscritti dal 21 maggio 2022 al 31 dicembre 2022 per i quali viene richiesta la sussistenza del requisito SOA sin dalla data di stipula del contratto, mentre l’infelice formulazione normativa ha ingenerato tra le imprese il legittimo affidamento che tale requisito potesse essere soddisfatto anche successivamente”. </w:t>
      </w:r>
    </w:p>
    <w:p w14:paraId="462AAD1D" w14:textId="77777777" w:rsidR="00E031B9" w:rsidRPr="00E031B9" w:rsidRDefault="00E031B9" w:rsidP="00E031B9">
      <w:pPr>
        <w:shd w:val="clear" w:color="auto" w:fill="FFFFFF"/>
        <w:jc w:val="both"/>
        <w:rPr>
          <w:rFonts w:ascii="Arial" w:hAnsi="Arial" w:cs="Arial"/>
          <w:sz w:val="24"/>
          <w:szCs w:val="24"/>
        </w:rPr>
      </w:pPr>
      <w:r w:rsidRPr="00E031B9">
        <w:rPr>
          <w:rFonts w:ascii="Arial" w:hAnsi="Arial" w:cs="Arial"/>
          <w:sz w:val="24"/>
          <w:szCs w:val="24"/>
        </w:rPr>
        <w:t xml:space="preserve"> </w:t>
      </w:r>
    </w:p>
    <w:p w14:paraId="6E401B08" w14:textId="5C6FDE92" w:rsidR="00E031B9" w:rsidRPr="00E031B9" w:rsidRDefault="00E031B9" w:rsidP="00E031B9">
      <w:pPr>
        <w:shd w:val="clear" w:color="auto" w:fill="FFFFFF"/>
        <w:jc w:val="both"/>
        <w:rPr>
          <w:rFonts w:ascii="Arial" w:hAnsi="Arial" w:cs="Arial"/>
          <w:sz w:val="24"/>
          <w:szCs w:val="24"/>
        </w:rPr>
      </w:pPr>
      <w:r w:rsidRPr="00E031B9">
        <w:rPr>
          <w:rFonts w:ascii="Arial" w:hAnsi="Arial" w:cs="Arial"/>
          <w:b/>
          <w:bCs/>
          <w:sz w:val="24"/>
          <w:szCs w:val="24"/>
        </w:rPr>
        <w:t>Salvatore Regalbuto</w:t>
      </w:r>
      <w:r w:rsidRPr="00E031B9">
        <w:rPr>
          <w:rFonts w:ascii="Arial" w:hAnsi="Arial" w:cs="Arial"/>
          <w:sz w:val="24"/>
          <w:szCs w:val="24"/>
        </w:rPr>
        <w:t xml:space="preserve">, Tesoriere con delega all’area Fiscalità, evidenzia che “l’unica interpretazione ragionevole è quella che per i contratti di appalto e subappalto stipulati dal 21 maggio 2022 al 31 dicembre 2022 è sufficiente che il requisito SOA sia soddisfatto alla data del primo gennaio 2023 e non necessariamente alla data di sottoscrizione del contratto”. “È indispensabile – conclude – che i chiarimenti richiesti pervengano quanto prima al fine di evitare che alle note difficoltà nella monetizzazione dei crediti se ne aggiungano ulteriori e paradossali per le imprese che, pur avendo individuato una banca disposta ad acquistare il credito, non riescono a perfezionare l’operazione, in conseguenza del mancato rilascio del benestare da parte </w:t>
      </w:r>
      <w:proofErr w:type="spellStart"/>
      <w:r w:rsidRPr="00E031B9">
        <w:rPr>
          <w:rFonts w:ascii="Arial" w:hAnsi="Arial" w:cs="Arial"/>
          <w:sz w:val="24"/>
          <w:szCs w:val="24"/>
        </w:rPr>
        <w:t>dell</w:t>
      </w:r>
      <w:r w:rsidR="005B22FD">
        <w:rPr>
          <w:rFonts w:ascii="Arial" w:hAnsi="Arial" w:cs="Arial"/>
          <w:sz w:val="24"/>
          <w:szCs w:val="24"/>
        </w:rPr>
        <w:t>’</w:t>
      </w:r>
      <w:r w:rsidRPr="005B22FD">
        <w:rPr>
          <w:rFonts w:ascii="Arial" w:hAnsi="Arial" w:cs="Arial"/>
          <w:i/>
          <w:iCs/>
          <w:sz w:val="24"/>
          <w:szCs w:val="24"/>
        </w:rPr>
        <w:t>advisor</w:t>
      </w:r>
      <w:proofErr w:type="spellEnd"/>
      <w:r w:rsidRPr="00E031B9">
        <w:rPr>
          <w:rFonts w:ascii="Arial" w:hAnsi="Arial" w:cs="Arial"/>
          <w:sz w:val="24"/>
          <w:szCs w:val="24"/>
        </w:rPr>
        <w:t xml:space="preserve">. E ciò, ancor più, in considerazione dell’approssimarsi del termine per l’invio delle comunicazioni di opzione per le spese sostenute nell’anno 2022”. </w:t>
      </w:r>
    </w:p>
    <w:p w14:paraId="029D0629" w14:textId="228A2C0C" w:rsidR="00631E07" w:rsidRPr="003D4055" w:rsidRDefault="00631E07" w:rsidP="00731ED1">
      <w:pPr>
        <w:shd w:val="clear" w:color="auto" w:fill="FFFFFF"/>
        <w:jc w:val="center"/>
        <w:rPr>
          <w:rFonts w:ascii="Arial" w:hAnsi="Arial" w:cs="Arial"/>
          <w:sz w:val="24"/>
          <w:szCs w:val="24"/>
        </w:rPr>
      </w:pPr>
    </w:p>
    <w:sectPr w:rsidR="00631E07" w:rsidRPr="003D405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9CD2" w14:textId="77777777" w:rsidR="00EE5B01" w:rsidRDefault="00EE5B01" w:rsidP="0078332C">
      <w:r>
        <w:separator/>
      </w:r>
    </w:p>
  </w:endnote>
  <w:endnote w:type="continuationSeparator" w:id="0">
    <w:p w14:paraId="7D9B7B85" w14:textId="77777777" w:rsidR="00EE5B01" w:rsidRDefault="00EE5B01"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EAF4" w14:textId="77777777" w:rsidR="00EE5B01" w:rsidRDefault="00EE5B01" w:rsidP="0078332C">
      <w:r>
        <w:separator/>
      </w:r>
    </w:p>
  </w:footnote>
  <w:footnote w:type="continuationSeparator" w:id="0">
    <w:p w14:paraId="2AA17E9D" w14:textId="77777777" w:rsidR="00EE5B01" w:rsidRDefault="00EE5B01"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047030527">
    <w:abstractNumId w:val="9"/>
  </w:num>
  <w:num w:numId="2" w16cid:durableId="112091104">
    <w:abstractNumId w:val="5"/>
  </w:num>
  <w:num w:numId="3" w16cid:durableId="2121800646">
    <w:abstractNumId w:val="11"/>
  </w:num>
  <w:num w:numId="4" w16cid:durableId="1430127194">
    <w:abstractNumId w:val="6"/>
  </w:num>
  <w:num w:numId="5" w16cid:durableId="1458139811">
    <w:abstractNumId w:val="15"/>
  </w:num>
  <w:num w:numId="6" w16cid:durableId="1552307431">
    <w:abstractNumId w:val="4"/>
  </w:num>
  <w:num w:numId="7" w16cid:durableId="2118254892">
    <w:abstractNumId w:val="0"/>
  </w:num>
  <w:num w:numId="8" w16cid:durableId="337586795">
    <w:abstractNumId w:val="13"/>
  </w:num>
  <w:num w:numId="9" w16cid:durableId="724187180">
    <w:abstractNumId w:val="7"/>
  </w:num>
  <w:num w:numId="10" w16cid:durableId="464616951">
    <w:abstractNumId w:val="7"/>
  </w:num>
  <w:num w:numId="11" w16cid:durableId="1341741122">
    <w:abstractNumId w:val="8"/>
  </w:num>
  <w:num w:numId="12" w16cid:durableId="1192690509">
    <w:abstractNumId w:val="2"/>
  </w:num>
  <w:num w:numId="13" w16cid:durableId="773549509">
    <w:abstractNumId w:val="14"/>
  </w:num>
  <w:num w:numId="14" w16cid:durableId="1145196077">
    <w:abstractNumId w:val="3"/>
  </w:num>
  <w:num w:numId="15" w16cid:durableId="1425422732">
    <w:abstractNumId w:val="8"/>
    <w:lvlOverride w:ilvl="0">
      <w:startOverride w:val="1"/>
    </w:lvlOverride>
  </w:num>
  <w:num w:numId="16" w16cid:durableId="1574118714">
    <w:abstractNumId w:val="3"/>
    <w:lvlOverride w:ilvl="0">
      <w:startOverride w:val="1"/>
    </w:lvlOverride>
  </w:num>
  <w:num w:numId="17" w16cid:durableId="2003309243">
    <w:abstractNumId w:val="1"/>
  </w:num>
  <w:num w:numId="18" w16cid:durableId="199776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130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825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8856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1061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431070">
    <w:abstractNumId w:val="8"/>
    <w:lvlOverride w:ilvl="0">
      <w:startOverride w:val="1"/>
    </w:lvlOverride>
    <w:lvlOverride w:ilvl="1"/>
    <w:lvlOverride w:ilvl="2"/>
    <w:lvlOverride w:ilvl="3"/>
    <w:lvlOverride w:ilvl="4"/>
    <w:lvlOverride w:ilvl="5"/>
    <w:lvlOverride w:ilvl="6"/>
    <w:lvlOverride w:ilvl="7"/>
    <w:lvlOverride w:ilvl="8"/>
  </w:num>
  <w:num w:numId="24" w16cid:durableId="227767993">
    <w:abstractNumId w:val="12"/>
  </w:num>
  <w:num w:numId="25" w16cid:durableId="508057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27CF9"/>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A3B02"/>
    <w:rsid w:val="000B3EFF"/>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26495"/>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332E"/>
    <w:rsid w:val="001E6BFD"/>
    <w:rsid w:val="001E7260"/>
    <w:rsid w:val="001F19BC"/>
    <w:rsid w:val="00202900"/>
    <w:rsid w:val="002062BE"/>
    <w:rsid w:val="00215734"/>
    <w:rsid w:val="0021644F"/>
    <w:rsid w:val="00216654"/>
    <w:rsid w:val="002204CC"/>
    <w:rsid w:val="00221234"/>
    <w:rsid w:val="0022138F"/>
    <w:rsid w:val="0022378E"/>
    <w:rsid w:val="0022580D"/>
    <w:rsid w:val="00234713"/>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047C"/>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4055"/>
    <w:rsid w:val="003D59CF"/>
    <w:rsid w:val="003E0F52"/>
    <w:rsid w:val="003E1A7E"/>
    <w:rsid w:val="003E753F"/>
    <w:rsid w:val="003E78D0"/>
    <w:rsid w:val="003F7A1D"/>
    <w:rsid w:val="00400CE9"/>
    <w:rsid w:val="00420687"/>
    <w:rsid w:val="00422B71"/>
    <w:rsid w:val="0042489D"/>
    <w:rsid w:val="004251EF"/>
    <w:rsid w:val="00434025"/>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22FD"/>
    <w:rsid w:val="005B45B5"/>
    <w:rsid w:val="005C1E5D"/>
    <w:rsid w:val="005C2B99"/>
    <w:rsid w:val="005C72BD"/>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A0B5D"/>
    <w:rsid w:val="006A0D3B"/>
    <w:rsid w:val="006A4451"/>
    <w:rsid w:val="006B322C"/>
    <w:rsid w:val="006C3945"/>
    <w:rsid w:val="006C6818"/>
    <w:rsid w:val="006C6D0E"/>
    <w:rsid w:val="006C7063"/>
    <w:rsid w:val="006E43CD"/>
    <w:rsid w:val="006F4DC7"/>
    <w:rsid w:val="00715BA2"/>
    <w:rsid w:val="00717DC7"/>
    <w:rsid w:val="00726188"/>
    <w:rsid w:val="007262E1"/>
    <w:rsid w:val="00731ED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46D6"/>
    <w:rsid w:val="007C0C2D"/>
    <w:rsid w:val="007C14B1"/>
    <w:rsid w:val="007C3A93"/>
    <w:rsid w:val="007C5CCD"/>
    <w:rsid w:val="007D296F"/>
    <w:rsid w:val="007D4196"/>
    <w:rsid w:val="007E44E2"/>
    <w:rsid w:val="007F53CA"/>
    <w:rsid w:val="007F5FE2"/>
    <w:rsid w:val="007F6195"/>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5156"/>
    <w:rsid w:val="00AF747D"/>
    <w:rsid w:val="00B01322"/>
    <w:rsid w:val="00B14747"/>
    <w:rsid w:val="00B15621"/>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038C"/>
    <w:rsid w:val="00BB2E5B"/>
    <w:rsid w:val="00BB41B0"/>
    <w:rsid w:val="00BB7DCC"/>
    <w:rsid w:val="00BB7EE6"/>
    <w:rsid w:val="00BC5E35"/>
    <w:rsid w:val="00BD0164"/>
    <w:rsid w:val="00BD0510"/>
    <w:rsid w:val="00BD2206"/>
    <w:rsid w:val="00BD6259"/>
    <w:rsid w:val="00BF096F"/>
    <w:rsid w:val="00BF37E8"/>
    <w:rsid w:val="00BF3A80"/>
    <w:rsid w:val="00C01E28"/>
    <w:rsid w:val="00C27F27"/>
    <w:rsid w:val="00C302BD"/>
    <w:rsid w:val="00C30E85"/>
    <w:rsid w:val="00C33494"/>
    <w:rsid w:val="00C342D6"/>
    <w:rsid w:val="00C418FB"/>
    <w:rsid w:val="00C43099"/>
    <w:rsid w:val="00C51F27"/>
    <w:rsid w:val="00C616AC"/>
    <w:rsid w:val="00C61B6E"/>
    <w:rsid w:val="00C630E0"/>
    <w:rsid w:val="00C66852"/>
    <w:rsid w:val="00C81BB1"/>
    <w:rsid w:val="00C844EB"/>
    <w:rsid w:val="00C867A7"/>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1B9"/>
    <w:rsid w:val="00E03601"/>
    <w:rsid w:val="00E039DA"/>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E5B01"/>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ms-button-flexcontainer">
    <w:name w:val="ms-button-flexcontainer"/>
    <w:basedOn w:val="Carpredefinitoparagrafo"/>
    <w:rsid w:val="0035047C"/>
  </w:style>
  <w:style w:type="character" w:customStyle="1" w:styleId="contentpasted0">
    <w:name w:val="contentpasted0"/>
    <w:basedOn w:val="Carpredefinitoparagrafo"/>
    <w:rsid w:val="0073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779569688">
      <w:bodyDiv w:val="1"/>
      <w:marLeft w:val="0"/>
      <w:marRight w:val="0"/>
      <w:marTop w:val="0"/>
      <w:marBottom w:val="0"/>
      <w:divBdr>
        <w:top w:val="none" w:sz="0" w:space="0" w:color="auto"/>
        <w:left w:val="none" w:sz="0" w:space="0" w:color="auto"/>
        <w:bottom w:val="none" w:sz="0" w:space="0" w:color="auto"/>
        <w:right w:val="none" w:sz="0" w:space="0" w:color="auto"/>
      </w:divBdr>
      <w:divsChild>
        <w:div w:id="517236258">
          <w:marLeft w:val="465"/>
          <w:marRight w:val="0"/>
          <w:marTop w:val="0"/>
          <w:marBottom w:val="0"/>
          <w:divBdr>
            <w:top w:val="none" w:sz="0" w:space="0" w:color="auto"/>
            <w:left w:val="none" w:sz="0" w:space="0" w:color="auto"/>
            <w:bottom w:val="none" w:sz="0" w:space="0" w:color="auto"/>
            <w:right w:val="none" w:sz="0" w:space="0" w:color="auto"/>
          </w:divBdr>
          <w:divsChild>
            <w:div w:id="1763183167">
              <w:marLeft w:val="0"/>
              <w:marRight w:val="0"/>
              <w:marTop w:val="0"/>
              <w:marBottom w:val="0"/>
              <w:divBdr>
                <w:top w:val="none" w:sz="0" w:space="0" w:color="auto"/>
                <w:left w:val="none" w:sz="0" w:space="0" w:color="auto"/>
                <w:bottom w:val="none" w:sz="0" w:space="0" w:color="auto"/>
                <w:right w:val="none" w:sz="0" w:space="0" w:color="auto"/>
              </w:divBdr>
              <w:divsChild>
                <w:div w:id="486897518">
                  <w:marLeft w:val="0"/>
                  <w:marRight w:val="0"/>
                  <w:marTop w:val="0"/>
                  <w:marBottom w:val="0"/>
                  <w:divBdr>
                    <w:top w:val="none" w:sz="0" w:space="0" w:color="auto"/>
                    <w:left w:val="none" w:sz="0" w:space="0" w:color="auto"/>
                    <w:bottom w:val="none" w:sz="0" w:space="0" w:color="auto"/>
                    <w:right w:val="none" w:sz="0" w:space="0" w:color="auto"/>
                  </w:divBdr>
                  <w:divsChild>
                    <w:div w:id="1739356232">
                      <w:marLeft w:val="0"/>
                      <w:marRight w:val="0"/>
                      <w:marTop w:val="0"/>
                      <w:marBottom w:val="0"/>
                      <w:divBdr>
                        <w:top w:val="none" w:sz="0" w:space="0" w:color="auto"/>
                        <w:left w:val="none" w:sz="0" w:space="0" w:color="auto"/>
                        <w:bottom w:val="none" w:sz="0" w:space="0" w:color="auto"/>
                        <w:right w:val="none" w:sz="0" w:space="0" w:color="auto"/>
                      </w:divBdr>
                      <w:divsChild>
                        <w:div w:id="577322491">
                          <w:marLeft w:val="0"/>
                          <w:marRight w:val="0"/>
                          <w:marTop w:val="0"/>
                          <w:marBottom w:val="0"/>
                          <w:divBdr>
                            <w:top w:val="none" w:sz="0" w:space="0" w:color="auto"/>
                            <w:left w:val="none" w:sz="0" w:space="0" w:color="auto"/>
                            <w:bottom w:val="none" w:sz="0" w:space="0" w:color="auto"/>
                            <w:right w:val="none" w:sz="0" w:space="0" w:color="auto"/>
                          </w:divBdr>
                          <w:divsChild>
                            <w:div w:id="1611667188">
                              <w:marLeft w:val="0"/>
                              <w:marRight w:val="0"/>
                              <w:marTop w:val="0"/>
                              <w:marBottom w:val="0"/>
                              <w:divBdr>
                                <w:top w:val="none" w:sz="0" w:space="0" w:color="auto"/>
                                <w:left w:val="none" w:sz="0" w:space="0" w:color="auto"/>
                                <w:bottom w:val="none" w:sz="0" w:space="0" w:color="auto"/>
                                <w:right w:val="none" w:sz="0" w:space="0" w:color="auto"/>
                              </w:divBdr>
                              <w:divsChild>
                                <w:div w:id="2931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07265">
          <w:marLeft w:val="465"/>
          <w:marRight w:val="0"/>
          <w:marTop w:val="0"/>
          <w:marBottom w:val="0"/>
          <w:divBdr>
            <w:top w:val="none" w:sz="0" w:space="0" w:color="auto"/>
            <w:left w:val="none" w:sz="0" w:space="0" w:color="auto"/>
            <w:bottom w:val="none" w:sz="0" w:space="0" w:color="auto"/>
            <w:right w:val="none" w:sz="0" w:space="0" w:color="auto"/>
          </w:divBdr>
          <w:divsChild>
            <w:div w:id="144394961">
              <w:marLeft w:val="0"/>
              <w:marRight w:val="0"/>
              <w:marTop w:val="0"/>
              <w:marBottom w:val="0"/>
              <w:divBdr>
                <w:top w:val="none" w:sz="0" w:space="0" w:color="auto"/>
                <w:left w:val="none" w:sz="0" w:space="0" w:color="auto"/>
                <w:bottom w:val="none" w:sz="0" w:space="0" w:color="auto"/>
                <w:right w:val="none" w:sz="0" w:space="0" w:color="auto"/>
              </w:divBdr>
              <w:divsChild>
                <w:div w:id="755134535">
                  <w:marLeft w:val="0"/>
                  <w:marRight w:val="0"/>
                  <w:marTop w:val="0"/>
                  <w:marBottom w:val="0"/>
                  <w:divBdr>
                    <w:top w:val="none" w:sz="0" w:space="0" w:color="auto"/>
                    <w:left w:val="none" w:sz="0" w:space="0" w:color="auto"/>
                    <w:bottom w:val="none" w:sz="0" w:space="0" w:color="auto"/>
                    <w:right w:val="none" w:sz="0" w:space="0" w:color="auto"/>
                  </w:divBdr>
                  <w:divsChild>
                    <w:div w:id="412121408">
                      <w:marLeft w:val="0"/>
                      <w:marRight w:val="0"/>
                      <w:marTop w:val="0"/>
                      <w:marBottom w:val="0"/>
                      <w:divBdr>
                        <w:top w:val="none" w:sz="0" w:space="0" w:color="auto"/>
                        <w:left w:val="none" w:sz="0" w:space="0" w:color="auto"/>
                        <w:bottom w:val="none" w:sz="0" w:space="0" w:color="auto"/>
                        <w:right w:val="none" w:sz="0" w:space="0" w:color="auto"/>
                      </w:divBdr>
                      <w:divsChild>
                        <w:div w:id="2040398288">
                          <w:marLeft w:val="0"/>
                          <w:marRight w:val="0"/>
                          <w:marTop w:val="0"/>
                          <w:marBottom w:val="0"/>
                          <w:divBdr>
                            <w:top w:val="none" w:sz="0" w:space="0" w:color="auto"/>
                            <w:left w:val="none" w:sz="0" w:space="0" w:color="auto"/>
                            <w:bottom w:val="none" w:sz="0" w:space="0" w:color="auto"/>
                            <w:right w:val="none" w:sz="0" w:space="0" w:color="auto"/>
                          </w:divBdr>
                          <w:divsChild>
                            <w:div w:id="263268611">
                              <w:marLeft w:val="0"/>
                              <w:marRight w:val="0"/>
                              <w:marTop w:val="0"/>
                              <w:marBottom w:val="0"/>
                              <w:divBdr>
                                <w:top w:val="none" w:sz="0" w:space="0" w:color="auto"/>
                                <w:left w:val="none" w:sz="0" w:space="0" w:color="auto"/>
                                <w:bottom w:val="none" w:sz="0" w:space="0" w:color="auto"/>
                                <w:right w:val="none" w:sz="0" w:space="0" w:color="auto"/>
                              </w:divBdr>
                              <w:divsChild>
                                <w:div w:id="10619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34264509">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81616171">
      <w:bodyDiv w:val="1"/>
      <w:marLeft w:val="0"/>
      <w:marRight w:val="0"/>
      <w:marTop w:val="0"/>
      <w:marBottom w:val="0"/>
      <w:divBdr>
        <w:top w:val="none" w:sz="0" w:space="0" w:color="auto"/>
        <w:left w:val="none" w:sz="0" w:space="0" w:color="auto"/>
        <w:bottom w:val="none" w:sz="0" w:space="0" w:color="auto"/>
        <w:right w:val="none" w:sz="0" w:space="0" w:color="auto"/>
      </w:divBdr>
      <w:divsChild>
        <w:div w:id="515310225">
          <w:marLeft w:val="0"/>
          <w:marRight w:val="0"/>
          <w:marTop w:val="0"/>
          <w:marBottom w:val="0"/>
          <w:divBdr>
            <w:top w:val="none" w:sz="0" w:space="0" w:color="auto"/>
            <w:left w:val="none" w:sz="0" w:space="0" w:color="auto"/>
            <w:bottom w:val="none" w:sz="0" w:space="0" w:color="auto"/>
            <w:right w:val="none" w:sz="0" w:space="0" w:color="auto"/>
          </w:divBdr>
        </w:div>
        <w:div w:id="1899394162">
          <w:marLeft w:val="0"/>
          <w:marRight w:val="0"/>
          <w:marTop w:val="0"/>
          <w:marBottom w:val="0"/>
          <w:divBdr>
            <w:top w:val="none" w:sz="0" w:space="0" w:color="auto"/>
            <w:left w:val="none" w:sz="0" w:space="0" w:color="auto"/>
            <w:bottom w:val="none" w:sz="0" w:space="0" w:color="auto"/>
            <w:right w:val="none" w:sz="0" w:space="0" w:color="auto"/>
          </w:divBdr>
        </w:div>
        <w:div w:id="1876382509">
          <w:marLeft w:val="0"/>
          <w:marRight w:val="0"/>
          <w:marTop w:val="0"/>
          <w:marBottom w:val="0"/>
          <w:divBdr>
            <w:top w:val="none" w:sz="0" w:space="0" w:color="auto"/>
            <w:left w:val="none" w:sz="0" w:space="0" w:color="auto"/>
            <w:bottom w:val="none" w:sz="0" w:space="0" w:color="auto"/>
            <w:right w:val="none" w:sz="0" w:space="0" w:color="auto"/>
          </w:divBdr>
        </w:div>
        <w:div w:id="46951748">
          <w:marLeft w:val="0"/>
          <w:marRight w:val="0"/>
          <w:marTop w:val="0"/>
          <w:marBottom w:val="0"/>
          <w:divBdr>
            <w:top w:val="none" w:sz="0" w:space="0" w:color="auto"/>
            <w:left w:val="none" w:sz="0" w:space="0" w:color="auto"/>
            <w:bottom w:val="none" w:sz="0" w:space="0" w:color="auto"/>
            <w:right w:val="none" w:sz="0" w:space="0" w:color="auto"/>
          </w:divBdr>
        </w:div>
        <w:div w:id="75129863">
          <w:marLeft w:val="0"/>
          <w:marRight w:val="0"/>
          <w:marTop w:val="0"/>
          <w:marBottom w:val="0"/>
          <w:divBdr>
            <w:top w:val="none" w:sz="0" w:space="0" w:color="auto"/>
            <w:left w:val="none" w:sz="0" w:space="0" w:color="auto"/>
            <w:bottom w:val="none" w:sz="0" w:space="0" w:color="auto"/>
            <w:right w:val="none" w:sz="0" w:space="0" w:color="auto"/>
          </w:divBdr>
        </w:div>
        <w:div w:id="135487204">
          <w:marLeft w:val="0"/>
          <w:marRight w:val="0"/>
          <w:marTop w:val="0"/>
          <w:marBottom w:val="0"/>
          <w:divBdr>
            <w:top w:val="none" w:sz="0" w:space="0" w:color="auto"/>
            <w:left w:val="none" w:sz="0" w:space="0" w:color="auto"/>
            <w:bottom w:val="none" w:sz="0" w:space="0" w:color="auto"/>
            <w:right w:val="none" w:sz="0" w:space="0" w:color="auto"/>
          </w:divBdr>
        </w:div>
      </w:divsChild>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5561053">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371</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8</cp:revision>
  <cp:lastPrinted>2022-11-10T10:03:00Z</cp:lastPrinted>
  <dcterms:created xsi:type="dcterms:W3CDTF">2023-01-10T09:51:00Z</dcterms:created>
  <dcterms:modified xsi:type="dcterms:W3CDTF">2023-02-15T08:28:00Z</dcterms:modified>
</cp:coreProperties>
</file>