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681B4" w14:textId="77777777" w:rsidR="00FA2AC4" w:rsidRDefault="00FA2AC4" w:rsidP="00FA2AC4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COMUNICATO STAMPA</w:t>
      </w:r>
    </w:p>
    <w:p w14:paraId="6F7AC788" w14:textId="77777777" w:rsidR="00FA2AC4" w:rsidRDefault="00FA2AC4" w:rsidP="00FA2AC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Il dato emerge dall’Osservatorio economico del Consiglio e della Fondazione Nazionale dei Commercialisti</w:t>
      </w:r>
    </w:p>
    <w:p w14:paraId="54459109" w14:textId="5FFE8326" w:rsidR="00FA2AC4" w:rsidRPr="00FA2AC4" w:rsidRDefault="00FA2AC4" w:rsidP="00FA2AC4">
      <w:pPr>
        <w:jc w:val="both"/>
        <w:rPr>
          <w:rFonts w:ascii="Arial" w:hAnsi="Arial" w:cs="Arial"/>
          <w:b/>
          <w:bCs/>
        </w:rPr>
      </w:pPr>
      <w:r w:rsidRPr="00FA2AC4">
        <w:rPr>
          <w:rFonts w:ascii="Arial" w:hAnsi="Arial" w:cs="Arial"/>
          <w:b/>
          <w:bCs/>
          <w:sz w:val="24"/>
          <w:szCs w:val="24"/>
        </w:rPr>
        <w:t xml:space="preserve">LE FAMIGLIE ITALIANE NON HANNO ANCORA RECUPERATO LO SHOCK FISCALE </w:t>
      </w:r>
      <w:r w:rsidRPr="00FA2AC4">
        <w:rPr>
          <w:rFonts w:ascii="Arial" w:hAnsi="Arial" w:cs="Arial"/>
          <w:b/>
          <w:bCs/>
        </w:rPr>
        <w:t>DEL 201</w:t>
      </w:r>
      <w:r w:rsidR="000236BA">
        <w:rPr>
          <w:rFonts w:ascii="Arial" w:hAnsi="Arial" w:cs="Arial"/>
          <w:b/>
          <w:bCs/>
        </w:rPr>
        <w:t>2</w:t>
      </w:r>
    </w:p>
    <w:p w14:paraId="0BD9DE04" w14:textId="4A68768F" w:rsidR="00FA2AC4" w:rsidRPr="00FA2AC4" w:rsidRDefault="00FA2AC4" w:rsidP="00FA2AC4">
      <w:pPr>
        <w:jc w:val="both"/>
        <w:rPr>
          <w:rFonts w:ascii="Arial" w:hAnsi="Arial" w:cs="Arial"/>
          <w:b/>
          <w:bCs/>
          <w:bdr w:val="none" w:sz="0" w:space="0" w:color="auto" w:frame="1"/>
          <w:lang w:eastAsia="it-IT"/>
        </w:rPr>
      </w:pPr>
      <w:r w:rsidRPr="00FA2AC4">
        <w:rPr>
          <w:rFonts w:ascii="Arial" w:hAnsi="Arial" w:cs="Arial"/>
          <w:b/>
          <w:bCs/>
        </w:rPr>
        <w:t>L’osservatorio ha analizzato anche lo scenario futuro. Quest’anno la legge di bilancio - attraverso la riduzione del cuneo dei lavoratori dipendenti - avrà un impatto positivo sulla pressione fiscale delle famiglie sebbene in maniera contenuta, pari allo 0,17% del Pil che salirà a 0,28 punti nel 2021. Anche ipotizzando la trasformazione in detrazione fiscale del bonus 80 euro del 2015, equivalente a 0,5 punti di Pil, non si rientrerebbe del tutto dallo shock fiscale del 2012</w:t>
      </w:r>
      <w:r w:rsidRPr="00FA2AC4">
        <w:rPr>
          <w:rFonts w:ascii="Arial" w:hAnsi="Arial" w:cs="Arial"/>
          <w:b/>
          <w:bCs/>
        </w:rPr>
        <w:t>. Miani: “Ora</w:t>
      </w:r>
      <w:r w:rsidRPr="00FA2AC4">
        <w:rPr>
          <w:rFonts w:ascii="Arial" w:hAnsi="Arial" w:cs="Arial"/>
          <w:b/>
          <w:bCs/>
          <w:bdr w:val="none" w:sz="0" w:space="0" w:color="auto" w:frame="1"/>
          <w:lang w:eastAsia="it-IT"/>
        </w:rPr>
        <w:t xml:space="preserve"> priorità</w:t>
      </w:r>
      <w:r w:rsidRPr="00FA2AC4">
        <w:rPr>
          <w:rFonts w:ascii="Arial" w:hAnsi="Arial" w:cs="Arial"/>
          <w:b/>
          <w:lang w:eastAsia="it-IT"/>
        </w:rPr>
        <w:t xml:space="preserve"> a interventi mirati </w:t>
      </w:r>
      <w:r w:rsidRPr="00FA2AC4">
        <w:rPr>
          <w:rFonts w:ascii="Arial" w:hAnsi="Arial" w:cs="Arial"/>
          <w:b/>
          <w:lang w:eastAsia="it-IT"/>
        </w:rPr>
        <w:t>a</w:t>
      </w:r>
      <w:r w:rsidRPr="00FA2AC4">
        <w:rPr>
          <w:rFonts w:ascii="Arial" w:hAnsi="Arial" w:cs="Arial"/>
          <w:b/>
          <w:lang w:eastAsia="it-IT"/>
        </w:rPr>
        <w:t xml:space="preserve"> chi è stato sino ad oggi più trascurato, in primo luogo le famiglie</w:t>
      </w:r>
      <w:r w:rsidRPr="00FA2AC4">
        <w:rPr>
          <w:rFonts w:ascii="Arial" w:hAnsi="Arial" w:cs="Arial"/>
          <w:b/>
          <w:lang w:eastAsia="it-IT"/>
        </w:rPr>
        <w:t>”</w:t>
      </w:r>
    </w:p>
    <w:p w14:paraId="4026E777" w14:textId="77777777" w:rsidR="00FA2AC4" w:rsidRDefault="00FA2AC4" w:rsidP="00FA2AC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Roma, 14 gennaio 2020 -</w:t>
      </w:r>
      <w:r>
        <w:rPr>
          <w:rFonts w:ascii="Arial" w:hAnsi="Arial" w:cs="Arial"/>
        </w:rPr>
        <w:t xml:space="preserve"> La pressione fiscale delle famiglie italiane, pari al </w:t>
      </w:r>
      <w:r>
        <w:rPr>
          <w:rFonts w:ascii="Arial" w:hAnsi="Arial" w:cs="Arial"/>
          <w:b/>
          <w:bCs/>
        </w:rPr>
        <w:t xml:space="preserve">17,82% </w:t>
      </w:r>
      <w:r>
        <w:rPr>
          <w:rFonts w:ascii="Arial" w:hAnsi="Arial" w:cs="Arial"/>
        </w:rPr>
        <w:t xml:space="preserve">del PIL, risulta sostanzialmente </w:t>
      </w:r>
      <w:r>
        <w:rPr>
          <w:rFonts w:ascii="Arial" w:hAnsi="Arial" w:cs="Arial"/>
          <w:b/>
          <w:bCs/>
        </w:rPr>
        <w:t>stabile (+0,04%)</w:t>
      </w:r>
      <w:r>
        <w:rPr>
          <w:rFonts w:ascii="Arial" w:hAnsi="Arial" w:cs="Arial"/>
        </w:rPr>
        <w:t xml:space="preserve"> nell’ultimo anno, ma non ha ancora assorbito lo </w:t>
      </w:r>
      <w:r>
        <w:rPr>
          <w:rFonts w:ascii="Arial" w:hAnsi="Arial" w:cs="Arial"/>
          <w:b/>
          <w:bCs/>
        </w:rPr>
        <w:t>shock fiscale del 2012</w:t>
      </w:r>
      <w:r>
        <w:rPr>
          <w:rFonts w:ascii="Arial" w:hAnsi="Arial" w:cs="Arial"/>
        </w:rPr>
        <w:t xml:space="preserve">. In particolare, permangono ancora </w:t>
      </w:r>
      <w:r>
        <w:rPr>
          <w:rFonts w:ascii="Arial" w:hAnsi="Arial" w:cs="Arial"/>
          <w:b/>
          <w:bCs/>
        </w:rPr>
        <w:t>1,63 punti da recuperare</w:t>
      </w:r>
      <w:r>
        <w:rPr>
          <w:rFonts w:ascii="Arial" w:hAnsi="Arial" w:cs="Arial"/>
        </w:rPr>
        <w:t xml:space="preserve"> rispetto all’incremento dovuto alla crisi del debito verificatasi nel </w:t>
      </w:r>
      <w:r>
        <w:rPr>
          <w:rFonts w:ascii="Arial" w:hAnsi="Arial" w:cs="Arial"/>
          <w:b/>
          <w:bCs/>
        </w:rPr>
        <w:t>2011</w:t>
      </w:r>
      <w:r>
        <w:rPr>
          <w:rFonts w:ascii="Arial" w:hAnsi="Arial" w:cs="Arial"/>
        </w:rPr>
        <w:t xml:space="preserve">. Da allora il recupero è stato solo di </w:t>
      </w:r>
      <w:r>
        <w:rPr>
          <w:rFonts w:ascii="Arial" w:hAnsi="Arial" w:cs="Arial"/>
          <w:b/>
          <w:bCs/>
        </w:rPr>
        <w:t>0,18 punti</w:t>
      </w:r>
      <w:r>
        <w:rPr>
          <w:rFonts w:ascii="Arial" w:hAnsi="Arial" w:cs="Arial"/>
        </w:rPr>
        <w:t xml:space="preserve">. Una situazione </w:t>
      </w:r>
      <w:r>
        <w:rPr>
          <w:rFonts w:ascii="Arial" w:hAnsi="Arial" w:cs="Arial"/>
          <w:b/>
          <w:bCs/>
        </w:rPr>
        <w:t>differente</w:t>
      </w:r>
      <w:r>
        <w:rPr>
          <w:rFonts w:ascii="Arial" w:hAnsi="Arial" w:cs="Arial"/>
        </w:rPr>
        <w:t xml:space="preserve"> rispetto al dato della </w:t>
      </w:r>
      <w:r>
        <w:rPr>
          <w:rFonts w:ascii="Arial" w:hAnsi="Arial" w:cs="Arial"/>
          <w:b/>
          <w:bCs/>
        </w:rPr>
        <w:t>pressione fiscale generale</w:t>
      </w:r>
      <w:r>
        <w:rPr>
          <w:rFonts w:ascii="Arial" w:hAnsi="Arial" w:cs="Arial"/>
        </w:rPr>
        <w:t xml:space="preserve"> che, nello stesso periodo ha lasciato un avanzo più contenuto pari a </w:t>
      </w:r>
      <w:r>
        <w:rPr>
          <w:rFonts w:ascii="Arial" w:hAnsi="Arial" w:cs="Arial"/>
          <w:b/>
          <w:bCs/>
        </w:rPr>
        <w:t>0,66 punti nel 2019</w:t>
      </w:r>
      <w:r>
        <w:rPr>
          <w:rFonts w:ascii="Arial" w:hAnsi="Arial" w:cs="Arial"/>
        </w:rPr>
        <w:t xml:space="preserve">. Le famiglie, dunque, rispetto agli altri settori istituzionali dell’ec2onomia, in particolare </w:t>
      </w:r>
      <w:r>
        <w:rPr>
          <w:rFonts w:ascii="Arial" w:hAnsi="Arial" w:cs="Arial"/>
          <w:b/>
          <w:bCs/>
        </w:rPr>
        <w:t>imprese e istituzioni finanziarie</w:t>
      </w:r>
      <w:r>
        <w:rPr>
          <w:rFonts w:ascii="Arial" w:hAnsi="Arial" w:cs="Arial"/>
        </w:rPr>
        <w:t xml:space="preserve">, hanno subito quasi interamente sulle proprie spalle </w:t>
      </w:r>
      <w:r>
        <w:rPr>
          <w:rFonts w:ascii="Arial" w:hAnsi="Arial" w:cs="Arial"/>
          <w:b/>
          <w:bCs/>
        </w:rPr>
        <w:t>il peso</w:t>
      </w:r>
      <w:r>
        <w:rPr>
          <w:rFonts w:ascii="Arial" w:hAnsi="Arial" w:cs="Arial"/>
        </w:rPr>
        <w:t xml:space="preserve"> dell’aggiustamento fiscale dell’inizio dello scorso decennio. Il dato emerge dall’osservatorio economico del </w:t>
      </w:r>
      <w:r>
        <w:rPr>
          <w:rFonts w:ascii="Arial" w:hAnsi="Arial" w:cs="Arial"/>
          <w:b/>
          <w:bCs/>
        </w:rPr>
        <w:t>Consiglio e della Fondazione Nazionale dei Commercialisti</w:t>
      </w:r>
      <w:r>
        <w:rPr>
          <w:rFonts w:ascii="Arial" w:hAnsi="Arial" w:cs="Arial"/>
        </w:rPr>
        <w:t xml:space="preserve"> che ha rielaborato la pressione fiscale delle famiglie sulla base di dati </w:t>
      </w:r>
      <w:r>
        <w:rPr>
          <w:rFonts w:ascii="Arial" w:hAnsi="Arial" w:cs="Arial"/>
          <w:b/>
          <w:bCs/>
        </w:rPr>
        <w:t xml:space="preserve">Istat </w:t>
      </w:r>
      <w:r>
        <w:rPr>
          <w:rFonts w:ascii="Arial" w:hAnsi="Arial" w:cs="Arial"/>
        </w:rPr>
        <w:t xml:space="preserve">di Contabilità Nazionale e </w:t>
      </w:r>
      <w:proofErr w:type="spellStart"/>
      <w:r>
        <w:rPr>
          <w:rFonts w:ascii="Arial" w:hAnsi="Arial" w:cs="Arial"/>
          <w:b/>
          <w:bCs/>
        </w:rPr>
        <w:t>Mef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sulle entrate tributarie mensili attraverso l’analisi dettagliata del gettito delle singole imposte con una proiezione dei dati al 2019.</w:t>
      </w:r>
    </w:p>
    <w:p w14:paraId="2F8A99EC" w14:textId="77777777" w:rsidR="00FA2AC4" w:rsidRDefault="00FA2AC4" w:rsidP="00FA2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differenza della pressione fiscale generale, che risulta in </w:t>
      </w:r>
      <w:r>
        <w:rPr>
          <w:rFonts w:ascii="Arial" w:hAnsi="Arial" w:cs="Arial"/>
          <w:b/>
          <w:bCs/>
        </w:rPr>
        <w:t>calo costante dal 2014</w:t>
      </w:r>
      <w:r>
        <w:rPr>
          <w:rFonts w:ascii="Arial" w:hAnsi="Arial" w:cs="Arial"/>
        </w:rPr>
        <w:t xml:space="preserve">, la pressione fiscale sulle famiglie, stabile nel 2013 (-0,08 punti di Pil), si è incrementata ulteriormente nel 2014 (+0,22%) e nel 2015 (+0,30%), per poi riprendere a ridursi nel 2016 (-0,46 punti) e nel 2017 (-0,17 punti di Pil) fino a stabilizzarsi nel 2018 e nel 2019. L’andamento differente rispetto a quella generale è dovuto dall’incremento del gettito </w:t>
      </w:r>
      <w:proofErr w:type="spellStart"/>
      <w:r>
        <w:rPr>
          <w:rFonts w:ascii="Arial" w:hAnsi="Arial" w:cs="Arial"/>
        </w:rPr>
        <w:t>Imu</w:t>
      </w:r>
      <w:proofErr w:type="spellEnd"/>
      <w:r>
        <w:rPr>
          <w:rFonts w:ascii="Arial" w:hAnsi="Arial" w:cs="Arial"/>
        </w:rPr>
        <w:t xml:space="preserve">/Tasi, delle addizionali Irpef e dei contributi sociali a carico delle famiglie, controbilanciato dal calo del gettito </w:t>
      </w:r>
      <w:proofErr w:type="spellStart"/>
      <w:r>
        <w:rPr>
          <w:rFonts w:ascii="Arial" w:hAnsi="Arial" w:cs="Arial"/>
        </w:rPr>
        <w:t>Ires</w:t>
      </w:r>
      <w:proofErr w:type="spellEnd"/>
      <w:r>
        <w:rPr>
          <w:rFonts w:ascii="Arial" w:hAnsi="Arial" w:cs="Arial"/>
        </w:rPr>
        <w:t xml:space="preserve"> e Irap e dalla stazionarietà dei contributi sociali a carico dei datori di lavoro.  </w:t>
      </w:r>
    </w:p>
    <w:p w14:paraId="733FB677" w14:textId="77777777" w:rsidR="00FA2AC4" w:rsidRDefault="00FA2AC4" w:rsidP="00FA2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L’osservatorio ha analizzato anche lo </w:t>
      </w:r>
      <w:r>
        <w:rPr>
          <w:rFonts w:ascii="Arial" w:hAnsi="Arial" w:cs="Arial"/>
          <w:b/>
          <w:bCs/>
        </w:rPr>
        <w:t>scenario futuro</w:t>
      </w:r>
      <w:r>
        <w:rPr>
          <w:rFonts w:ascii="Arial" w:hAnsi="Arial" w:cs="Arial"/>
        </w:rPr>
        <w:t xml:space="preserve">. Quest’anno la legge di bilancio - attraverso la riduzione del </w:t>
      </w:r>
      <w:r>
        <w:rPr>
          <w:rFonts w:ascii="Arial" w:hAnsi="Arial" w:cs="Arial"/>
          <w:b/>
          <w:bCs/>
        </w:rPr>
        <w:t>cuneo fiscale</w:t>
      </w:r>
      <w:r>
        <w:rPr>
          <w:rFonts w:ascii="Arial" w:hAnsi="Arial" w:cs="Arial"/>
        </w:rPr>
        <w:t xml:space="preserve"> dei lavoratori dipendenti - avrà un impatto positivo sulla pressione fiscale delle famiglie sebbene in maniera contenuta pari allo 0,17% del Pil che salirà a 0,28 punti nel 2021. Anche ipotizzando la trasformazione in detrazione fiscale del </w:t>
      </w:r>
      <w:r>
        <w:rPr>
          <w:rFonts w:ascii="Arial" w:hAnsi="Arial" w:cs="Arial"/>
          <w:b/>
          <w:bCs/>
        </w:rPr>
        <w:t>bonus di 80 euro</w:t>
      </w:r>
      <w:r>
        <w:rPr>
          <w:rFonts w:ascii="Arial" w:hAnsi="Arial" w:cs="Arial"/>
        </w:rPr>
        <w:t xml:space="preserve"> mensili introdotto dal governo Renzi nel 2015, equivalente a 0,5 punti di Pil, non si rientrerebbe del tutto dallo shock fiscale del 2012.</w:t>
      </w:r>
    </w:p>
    <w:p w14:paraId="6E47FB39" w14:textId="77777777" w:rsidR="00FA2AC4" w:rsidRDefault="00FA2AC4" w:rsidP="00FA2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documento dei commercialisti fa poi il punto anche sui </w:t>
      </w:r>
      <w:r>
        <w:rPr>
          <w:rFonts w:ascii="Arial" w:hAnsi="Arial" w:cs="Arial"/>
          <w:b/>
          <w:bCs/>
        </w:rPr>
        <w:t>redditi medi familiari</w:t>
      </w:r>
      <w:r>
        <w:rPr>
          <w:rFonts w:ascii="Arial" w:hAnsi="Arial" w:cs="Arial"/>
        </w:rPr>
        <w:t xml:space="preserve">, evidenziandone una crescita continua dal 2015. In particolare, nel 2017, il reddito medio netto familiare è risultato pari a 31.393 euro, superando per la prima volta il livello </w:t>
      </w:r>
      <w:proofErr w:type="gramStart"/>
      <w:r>
        <w:rPr>
          <w:rFonts w:ascii="Arial" w:hAnsi="Arial" w:cs="Arial"/>
        </w:rPr>
        <w:t>pre-crisi</w:t>
      </w:r>
      <w:proofErr w:type="gramEnd"/>
      <w:r>
        <w:rPr>
          <w:rFonts w:ascii="Arial" w:hAnsi="Arial" w:cs="Arial"/>
        </w:rPr>
        <w:t xml:space="preserve"> di 30.502 euro del 2009. Permangono, invece, significative </w:t>
      </w:r>
      <w:r>
        <w:rPr>
          <w:rFonts w:ascii="Arial" w:hAnsi="Arial" w:cs="Arial"/>
          <w:b/>
          <w:bCs/>
        </w:rPr>
        <w:t>differenze territoriali</w:t>
      </w:r>
      <w:r>
        <w:rPr>
          <w:rFonts w:ascii="Arial" w:hAnsi="Arial" w:cs="Arial"/>
        </w:rPr>
        <w:t xml:space="preserve"> con il livello più basso al Sud (25.415 euro) e il più alto nel Nord-ovest (35.386 euro). Il Sud presenta un gap del 19% rispetto alla media nazionale e del 28% rispetto al livello più alto del Nord-ovest. </w:t>
      </w:r>
    </w:p>
    <w:p w14:paraId="5A7DAD9F" w14:textId="77777777" w:rsidR="00FA2AC4" w:rsidRDefault="00FA2AC4" w:rsidP="00FA2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Infine, rispetto alla composizione del nucleo familiare, la ripresa manifestatasi nel triennio 2015-2017 ha favorito i </w:t>
      </w:r>
      <w:r>
        <w:rPr>
          <w:rFonts w:ascii="Arial" w:hAnsi="Arial" w:cs="Arial"/>
          <w:b/>
          <w:bCs/>
        </w:rPr>
        <w:t>nuclei più piccoli</w:t>
      </w:r>
      <w:r>
        <w:rPr>
          <w:rFonts w:ascii="Arial" w:hAnsi="Arial" w:cs="Arial"/>
        </w:rPr>
        <w:t xml:space="preserve">, mentre quelli più numerosi, in particolare quelli con cinque e più componenti, hanno fatto registrare addirittura un calo. </w:t>
      </w:r>
    </w:p>
    <w:p w14:paraId="227A869A" w14:textId="77777777" w:rsidR="00FA2AC4" w:rsidRDefault="00FA2AC4" w:rsidP="00FA2AC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“La riduzione della pressione fiscale registratasi negli anni successivi al picco del 2012 – commenta il presidente del Consiglio nazionale dei commercialisti, </w:t>
      </w:r>
      <w:r>
        <w:rPr>
          <w:rFonts w:ascii="Arial" w:hAnsi="Arial" w:cs="Arial"/>
          <w:b/>
          <w:bCs/>
          <w:lang w:eastAsia="it-IT"/>
        </w:rPr>
        <w:t>Massimo Miani</w:t>
      </w:r>
      <w:r>
        <w:rPr>
          <w:rFonts w:ascii="Arial" w:hAnsi="Arial" w:cs="Arial"/>
          <w:lang w:eastAsia="it-IT"/>
        </w:rPr>
        <w:t xml:space="preserve"> - </w:t>
      </w:r>
      <w:r>
        <w:rPr>
          <w:rFonts w:ascii="Arial" w:hAnsi="Arial" w:cs="Arial"/>
          <w:bdr w:val="none" w:sz="0" w:space="0" w:color="auto" w:frame="1"/>
          <w:lang w:eastAsia="it-IT"/>
        </w:rPr>
        <w:t>ha prodotto r</w:t>
      </w:r>
      <w:r>
        <w:rPr>
          <w:rFonts w:ascii="Arial" w:hAnsi="Arial" w:cs="Arial"/>
          <w:lang w:eastAsia="it-IT"/>
        </w:rPr>
        <w:t>isultati </w:t>
      </w:r>
      <w:r>
        <w:rPr>
          <w:rFonts w:ascii="Arial" w:hAnsi="Arial" w:cs="Arial"/>
          <w:bdr w:val="none" w:sz="0" w:space="0" w:color="auto" w:frame="1"/>
          <w:lang w:eastAsia="it-IT"/>
        </w:rPr>
        <w:t>asimmetrici</w:t>
      </w:r>
      <w:r>
        <w:rPr>
          <w:rFonts w:ascii="Arial" w:hAnsi="Arial" w:cs="Arial"/>
          <w:lang w:eastAsia="it-IT"/>
        </w:rPr>
        <w:t> rispetto alle diverse platee di contribuenti. C’è stato un saldo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 xml:space="preserve"> positivo</w:t>
      </w:r>
      <w:r>
        <w:rPr>
          <w:rFonts w:ascii="Arial" w:hAnsi="Arial" w:cs="Arial"/>
          <w:lang w:eastAsia="it-IT"/>
        </w:rPr>
        <w:t> per le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imprese</w:t>
      </w:r>
      <w:r>
        <w:rPr>
          <w:rFonts w:ascii="Arial" w:hAnsi="Arial" w:cs="Arial"/>
          <w:lang w:eastAsia="it-IT"/>
        </w:rPr>
        <w:t> con una buona base occupazionale, per le quali è stato possibile fruire a pieno dei positivi interventi su IRAP, IRES e contributi sociali. Per i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lavoratori dipendenti</w:t>
      </w:r>
      <w:r>
        <w:rPr>
          <w:rFonts w:ascii="Arial" w:hAnsi="Arial" w:cs="Arial"/>
          <w:lang w:eastAsia="it-IT"/>
        </w:rPr>
        <w:t xml:space="preserve"> a </w:t>
      </w:r>
      <w:r>
        <w:rPr>
          <w:rFonts w:ascii="Arial" w:hAnsi="Arial" w:cs="Arial"/>
          <w:b/>
          <w:bCs/>
          <w:lang w:eastAsia="it-IT"/>
        </w:rPr>
        <w:t>basso reddito</w:t>
      </w:r>
      <w:r>
        <w:rPr>
          <w:rFonts w:ascii="Arial" w:hAnsi="Arial" w:cs="Arial"/>
          <w:lang w:eastAsia="it-IT"/>
        </w:rPr>
        <w:t>, che hanno potuto bilanciare l’inasprimento della tassazione locale con il “bonus 80 euro”, il saldo è invece più o meno in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pareggio</w:t>
      </w:r>
      <w:r>
        <w:rPr>
          <w:rFonts w:ascii="Arial" w:hAnsi="Arial" w:cs="Arial"/>
          <w:lang w:eastAsia="it-IT"/>
        </w:rPr>
        <w:t>. Saldo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tendenzialmente negativo</w:t>
      </w:r>
      <w:r>
        <w:rPr>
          <w:rFonts w:ascii="Arial" w:hAnsi="Arial" w:cs="Arial"/>
          <w:lang w:eastAsia="it-IT"/>
        </w:rPr>
        <w:t>, infine, per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pensionati</w:t>
      </w:r>
      <w:r>
        <w:rPr>
          <w:rFonts w:ascii="Arial" w:hAnsi="Arial" w:cs="Arial"/>
          <w:lang w:eastAsia="it-IT"/>
        </w:rPr>
        <w:t>,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lavoratori autonomi</w:t>
      </w:r>
      <w:r>
        <w:rPr>
          <w:rFonts w:ascii="Arial" w:hAnsi="Arial" w:cs="Arial"/>
          <w:lang w:eastAsia="it-IT"/>
        </w:rPr>
        <w:t> e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ceto medio</w:t>
      </w:r>
      <w:r>
        <w:rPr>
          <w:rFonts w:ascii="Arial" w:hAnsi="Arial" w:cs="Arial"/>
          <w:lang w:eastAsia="it-IT"/>
        </w:rPr>
        <w:t xml:space="preserve"> in generale che ha subito l’inasprimento della tassazione locale senza alcuna apprezzabile contropartita, al netto della esenzione della prima casa dall’IMU”. </w:t>
      </w:r>
    </w:p>
    <w:p w14:paraId="518A939E" w14:textId="77777777" w:rsidR="00FA2AC4" w:rsidRDefault="00FA2AC4" w:rsidP="00FA2AC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lang w:eastAsia="it-IT"/>
        </w:rPr>
      </w:pPr>
    </w:p>
    <w:p w14:paraId="4C4DEDCA" w14:textId="77777777" w:rsidR="00FA2AC4" w:rsidRDefault="00FA2AC4" w:rsidP="00FA2AC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it-IT"/>
        </w:rPr>
        <w:t xml:space="preserve">Secondo 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Miani</w:t>
      </w:r>
      <w:r>
        <w:rPr>
          <w:rFonts w:ascii="Arial" w:hAnsi="Arial" w:cs="Arial"/>
          <w:lang w:eastAsia="it-IT"/>
        </w:rPr>
        <w:t>, “si tratta ora di insistere nello sforzo di riduzione del carico fiscale, dando però la </w:t>
      </w:r>
      <w:r>
        <w:rPr>
          <w:rFonts w:ascii="Arial" w:hAnsi="Arial" w:cs="Arial"/>
          <w:b/>
          <w:bCs/>
          <w:bdr w:val="none" w:sz="0" w:space="0" w:color="auto" w:frame="1"/>
          <w:lang w:eastAsia="it-IT"/>
        </w:rPr>
        <w:t>giusta priorità</w:t>
      </w:r>
      <w:r>
        <w:rPr>
          <w:rFonts w:ascii="Arial" w:hAnsi="Arial" w:cs="Arial"/>
          <w:lang w:eastAsia="it-IT"/>
        </w:rPr>
        <w:t> a interventi mirati verso chi è stato sino ad oggi più trascurato, in primo luogo le famiglie”. “</w:t>
      </w:r>
      <w:r>
        <w:rPr>
          <w:rFonts w:ascii="Arial" w:hAnsi="Arial" w:cs="Arial"/>
          <w:color w:val="000000"/>
        </w:rPr>
        <w:t xml:space="preserve">Fermo restando che, come il bonus degli 80 euro, anche la riduzione del cuneo fiscale è un intervento a favore delle famiglie che produce effetti positivi sebbene limitati sulla crescita economica – conclude il presidente dei commercialisti - l'auspicio è che il Governo possa ampliare l'intervento agendo direttamente sulle </w:t>
      </w:r>
      <w:r>
        <w:rPr>
          <w:rFonts w:ascii="Arial" w:hAnsi="Arial" w:cs="Arial"/>
          <w:b/>
          <w:bCs/>
          <w:color w:val="000000"/>
        </w:rPr>
        <w:t>aliquote Irpef</w:t>
      </w:r>
      <w:r>
        <w:rPr>
          <w:rFonts w:ascii="Arial" w:hAnsi="Arial" w:cs="Arial"/>
          <w:color w:val="000000"/>
        </w:rPr>
        <w:t>, così da estenderne il beneficio a tutte le famiglie italiane e non solo a quelle il cui reddito proviene prevalentemente da lavoro dipendente”.</w:t>
      </w:r>
    </w:p>
    <w:p w14:paraId="64A82C9B" w14:textId="77777777" w:rsidR="00FA2AC4" w:rsidRDefault="00FA2AC4" w:rsidP="00FA2AC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</w:p>
    <w:p w14:paraId="22C4286D" w14:textId="32AE49CC" w:rsidR="00FA2AC4" w:rsidRDefault="00FA2AC4" w:rsidP="00FA2AC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lang w:eastAsia="it-IT"/>
        </w:rPr>
      </w:pPr>
      <w:bookmarkStart w:id="0" w:name="_Hlk29889204"/>
      <w:r>
        <w:rPr>
          <w:rFonts w:ascii="Arial" w:hAnsi="Arial" w:cs="Arial"/>
          <w:color w:val="000000"/>
        </w:rPr>
        <w:t xml:space="preserve">Al tema della pressione fiscale familiare la Fondazione Nazionale dei Commercialisti dedicherà nei prossimi mesi un incontro in collaborazione con il </w:t>
      </w:r>
      <w:r w:rsidRPr="00FA2AC4">
        <w:rPr>
          <w:rFonts w:ascii="Arial" w:hAnsi="Arial" w:cs="Arial"/>
          <w:b/>
          <w:color w:val="000000"/>
        </w:rPr>
        <w:t xml:space="preserve">Forum </w:t>
      </w:r>
      <w:r w:rsidR="002A5088">
        <w:rPr>
          <w:rFonts w:ascii="Arial" w:hAnsi="Arial" w:cs="Arial"/>
          <w:b/>
          <w:color w:val="000000"/>
        </w:rPr>
        <w:t xml:space="preserve">nazionale </w:t>
      </w:r>
      <w:bookmarkStart w:id="1" w:name="_GoBack"/>
      <w:bookmarkEnd w:id="1"/>
      <w:r w:rsidR="002A5088">
        <w:rPr>
          <w:rFonts w:ascii="Arial" w:hAnsi="Arial" w:cs="Arial"/>
          <w:b/>
          <w:color w:val="000000"/>
        </w:rPr>
        <w:t>delle associazioni f</w:t>
      </w:r>
      <w:r w:rsidRPr="00FA2AC4">
        <w:rPr>
          <w:rFonts w:ascii="Arial" w:hAnsi="Arial" w:cs="Arial"/>
          <w:b/>
          <w:color w:val="000000"/>
        </w:rPr>
        <w:t>amili</w:t>
      </w:r>
      <w:r w:rsidR="002A5088">
        <w:rPr>
          <w:rFonts w:ascii="Arial" w:hAnsi="Arial" w:cs="Arial"/>
          <w:b/>
          <w:color w:val="000000"/>
        </w:rPr>
        <w:t>ari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nel quale </w:t>
      </w:r>
      <w:r>
        <w:rPr>
          <w:rFonts w:ascii="Arial" w:hAnsi="Arial" w:cs="Arial"/>
          <w:color w:val="000000"/>
        </w:rPr>
        <w:t>verranno illustrate le possibili soluzioni per risolvere le difficoltà economiche che quotidianamente vivono i nuclei familiari del nostro paese.</w:t>
      </w:r>
    </w:p>
    <w:bookmarkEnd w:id="0"/>
    <w:p w14:paraId="3FFDF8E0" w14:textId="77777777" w:rsidR="0085054F" w:rsidRDefault="0085054F" w:rsidP="0085054F">
      <w:r>
        <w:rPr>
          <w:noProof/>
          <w:lang w:eastAsia="it-IT"/>
        </w:rPr>
        <w:drawing>
          <wp:inline distT="0" distB="0" distL="0" distR="0" wp14:anchorId="0EF85C0D" wp14:editId="65F2D916">
            <wp:extent cx="5791200" cy="2571655"/>
            <wp:effectExtent l="0" t="0" r="0" b="635"/>
            <wp:docPr id="3" name="Immagine 3" descr="cid:image001.png@01D5C6DD.85802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 59" descr="cid:image001.png@01D5C6DD.85802E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787" cy="258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17222" w14:textId="77777777" w:rsidR="0085054F" w:rsidRDefault="0085054F" w:rsidP="0085054F"/>
    <w:p w14:paraId="22C44424" w14:textId="77777777" w:rsidR="0085054F" w:rsidRDefault="0085054F" w:rsidP="0085054F"/>
    <w:p w14:paraId="5E76DEFC" w14:textId="77777777" w:rsidR="0085054F" w:rsidRDefault="0085054F" w:rsidP="0085054F"/>
    <w:p w14:paraId="11555572" w14:textId="77777777" w:rsidR="0085054F" w:rsidRDefault="0085054F" w:rsidP="0085054F">
      <w:r>
        <w:rPr>
          <w:noProof/>
          <w:lang w:eastAsia="it-IT"/>
        </w:rPr>
        <w:lastRenderedPageBreak/>
        <w:drawing>
          <wp:inline distT="0" distB="0" distL="0" distR="0" wp14:anchorId="6077D7D9" wp14:editId="6E58566F">
            <wp:extent cx="5924550" cy="2242185"/>
            <wp:effectExtent l="0" t="0" r="0" b="5715"/>
            <wp:docPr id="23" name="Immagine 23" descr="cid:image002.png@01D5C6DD.85802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 58" descr="cid:image002.png@01D5C6DD.85802E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03" cy="224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BF79" w14:textId="40EE48A7" w:rsidR="0085054F" w:rsidRDefault="0085054F" w:rsidP="0085054F"/>
    <w:p w14:paraId="1066042A" w14:textId="77777777" w:rsidR="00292C86" w:rsidRDefault="00292C86" w:rsidP="0085054F"/>
    <w:p w14:paraId="6AAD3C40" w14:textId="77777777" w:rsidR="0085054F" w:rsidRPr="00675ED5" w:rsidRDefault="0085054F" w:rsidP="0085054F">
      <w:pPr>
        <w:jc w:val="both"/>
        <w:rPr>
          <w:i/>
          <w:iCs/>
          <w:sz w:val="20"/>
          <w:szCs w:val="20"/>
        </w:rPr>
      </w:pPr>
      <w:r w:rsidRPr="00675ED5">
        <w:rPr>
          <w:i/>
          <w:iCs/>
          <w:sz w:val="20"/>
          <w:szCs w:val="20"/>
        </w:rPr>
        <w:t>Pressione fiscale delle Famiglie*. Anni 2015-2019. Dati in milioni di euro.</w:t>
      </w:r>
    </w:p>
    <w:p w14:paraId="12ED6567" w14:textId="77777777" w:rsidR="0085054F" w:rsidRPr="00675ED5" w:rsidRDefault="0085054F" w:rsidP="0085054F">
      <w:pPr>
        <w:jc w:val="both"/>
        <w:rPr>
          <w:i/>
          <w:i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1263"/>
        <w:gridCol w:w="1263"/>
        <w:gridCol w:w="1263"/>
        <w:gridCol w:w="1263"/>
        <w:gridCol w:w="1197"/>
      </w:tblGrid>
      <w:tr w:rsidR="0085054F" w:rsidRPr="0085054F" w14:paraId="16B1B1ED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E773" w14:textId="77777777" w:rsidR="0085054F" w:rsidRPr="0085054F" w:rsidRDefault="0085054F" w:rsidP="00612648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081D" w14:textId="77777777" w:rsidR="0085054F" w:rsidRPr="0085054F" w:rsidRDefault="0085054F" w:rsidP="0061264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F223" w14:textId="77777777" w:rsidR="0085054F" w:rsidRPr="0085054F" w:rsidRDefault="0085054F" w:rsidP="00612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0BFF" w14:textId="77777777" w:rsidR="0085054F" w:rsidRPr="0085054F" w:rsidRDefault="0085054F" w:rsidP="00612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02F7" w14:textId="77777777" w:rsidR="0085054F" w:rsidRPr="0085054F" w:rsidRDefault="0085054F" w:rsidP="00612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8298" w14:textId="77777777" w:rsidR="0085054F" w:rsidRPr="0085054F" w:rsidRDefault="0085054F" w:rsidP="00612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>2019**</w:t>
            </w:r>
          </w:p>
        </w:tc>
      </w:tr>
      <w:tr w:rsidR="0085054F" w:rsidRPr="0085054F" w14:paraId="634CEC24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871F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IRPEF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42E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 165.741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77AF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166.166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5FA5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169.267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2C82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172.283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62E5" w14:textId="77777777" w:rsidR="0085054F" w:rsidRPr="0085054F" w:rsidRDefault="0085054F" w:rsidP="006126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175.901 </w:t>
            </w:r>
          </w:p>
        </w:tc>
      </w:tr>
      <w:tr w:rsidR="0085054F" w:rsidRPr="0085054F" w14:paraId="086184BF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1226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 xml:space="preserve">ADD REG IRPEF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F2F3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11.052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487E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11.854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D920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11.966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61D0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11.955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4374" w14:textId="77777777" w:rsidR="0085054F" w:rsidRPr="0085054F" w:rsidRDefault="0085054F" w:rsidP="006126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12.015 </w:t>
            </w:r>
          </w:p>
        </w:tc>
      </w:tr>
      <w:tr w:rsidR="0085054F" w:rsidRPr="0085054F" w14:paraId="212A599C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516E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ADD COM IRPEF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ABB9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  4.564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ABFA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  4.546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7282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  4.614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B327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  4.766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B569" w14:textId="77777777" w:rsidR="0085054F" w:rsidRPr="0085054F" w:rsidRDefault="0085054F" w:rsidP="006126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   4.837 </w:t>
            </w:r>
          </w:p>
        </w:tc>
      </w:tr>
      <w:tr w:rsidR="0085054F" w:rsidRPr="0085054F" w14:paraId="4065B863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6EB1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ALTRE IMPOSTE SUL REDDITO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5EE9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 18.810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C59F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17.903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2859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17.332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B207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15.401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8C43" w14:textId="77777777" w:rsidR="0085054F" w:rsidRPr="0085054F" w:rsidRDefault="0085054F" w:rsidP="006126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15.447 </w:t>
            </w:r>
          </w:p>
        </w:tc>
      </w:tr>
      <w:tr w:rsidR="0085054F" w:rsidRPr="0085054F" w14:paraId="34084E2F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83D6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ALTRE IMPOSTE CORRENTI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625E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  8.295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5769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10.380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37E0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10.479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87B6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   10.807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803D9" w14:textId="77777777" w:rsidR="0085054F" w:rsidRPr="0085054F" w:rsidRDefault="0085054F" w:rsidP="006126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   8.678 </w:t>
            </w:r>
          </w:p>
        </w:tc>
      </w:tr>
      <w:tr w:rsidR="0085054F" w:rsidRPr="0085054F" w14:paraId="17ACEE0B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3D50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IMU/TASI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F08B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 24.588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CD1A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20.849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38AA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20.943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798B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21.214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B4A4" w14:textId="77777777" w:rsidR="0085054F" w:rsidRPr="0085054F" w:rsidRDefault="0085054F" w:rsidP="006126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21.350 </w:t>
            </w:r>
          </w:p>
        </w:tc>
      </w:tr>
      <w:tr w:rsidR="0085054F" w:rsidRPr="0085054F" w14:paraId="74B628F6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D637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IMPOSTE C/CAPITALE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DAFD" w14:textId="77777777" w:rsidR="0085054F" w:rsidRPr="0085054F" w:rsidRDefault="0085054F" w:rsidP="00612648">
            <w:pPr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        674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020A" w14:textId="77777777" w:rsidR="0085054F" w:rsidRPr="0085054F" w:rsidRDefault="0085054F" w:rsidP="00612648">
            <w:pPr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        736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0336" w14:textId="77777777" w:rsidR="0085054F" w:rsidRPr="0085054F" w:rsidRDefault="0085054F" w:rsidP="00612648">
            <w:pPr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        815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16B1" w14:textId="77777777" w:rsidR="0085054F" w:rsidRPr="0085054F" w:rsidRDefault="0085054F" w:rsidP="00612648">
            <w:pPr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        820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699A" w14:textId="77777777" w:rsidR="0085054F" w:rsidRPr="0085054F" w:rsidRDefault="0085054F" w:rsidP="00612648">
            <w:pPr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      820 </w:t>
            </w:r>
          </w:p>
        </w:tc>
      </w:tr>
      <w:tr w:rsidR="0085054F" w:rsidRPr="0085054F" w14:paraId="0D1835F3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546A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CONTRIBUTI SOCIALI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217A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 71.766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1D4A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72.604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CCD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74.059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F1CD" w14:textId="77777777" w:rsidR="0085054F" w:rsidRPr="0085054F" w:rsidRDefault="0085054F" w:rsidP="006126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054F">
              <w:rPr>
                <w:rFonts w:ascii="Arial" w:hAnsi="Arial" w:cs="Arial"/>
                <w:sz w:val="18"/>
                <w:szCs w:val="18"/>
              </w:rPr>
              <w:t xml:space="preserve">       76.601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0A55" w14:textId="77777777" w:rsidR="0085054F" w:rsidRPr="0085054F" w:rsidRDefault="0085054F" w:rsidP="0061264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 xml:space="preserve">           78.731 </w:t>
            </w:r>
          </w:p>
        </w:tc>
      </w:tr>
      <w:tr w:rsidR="0085054F" w:rsidRPr="0085054F" w14:paraId="6475EE8C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614C" w14:textId="77777777" w:rsidR="0085054F" w:rsidRPr="0085054F" w:rsidRDefault="0085054F" w:rsidP="00612648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i/>
                <w:i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9F63" w14:textId="77777777" w:rsidR="0085054F" w:rsidRPr="0085054F" w:rsidRDefault="0085054F" w:rsidP="0061264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 xml:space="preserve">           305.490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7FB0" w14:textId="77777777" w:rsidR="0085054F" w:rsidRPr="0085054F" w:rsidRDefault="0085054F" w:rsidP="0061264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 xml:space="preserve">           305.038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8457" w14:textId="77777777" w:rsidR="0085054F" w:rsidRPr="0085054F" w:rsidRDefault="0085054F" w:rsidP="0061264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 xml:space="preserve">           309.475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CBAF" w14:textId="77777777" w:rsidR="0085054F" w:rsidRPr="0085054F" w:rsidRDefault="0085054F" w:rsidP="0061264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 xml:space="preserve">           313.847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B663" w14:textId="77777777" w:rsidR="0085054F" w:rsidRPr="0085054F" w:rsidRDefault="0085054F" w:rsidP="0061264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054F">
              <w:rPr>
                <w:b/>
                <w:bCs/>
                <w:color w:val="000000"/>
                <w:sz w:val="18"/>
                <w:szCs w:val="18"/>
              </w:rPr>
              <w:t xml:space="preserve">         317.779 </w:t>
            </w:r>
          </w:p>
        </w:tc>
      </w:tr>
      <w:tr w:rsidR="0085054F" w:rsidRPr="0085054F" w14:paraId="2DAE3BB6" w14:textId="77777777" w:rsidTr="0061264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8D08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50FF" w14:textId="77777777" w:rsidR="0085054F" w:rsidRPr="0085054F" w:rsidRDefault="0085054F" w:rsidP="0061264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85054F">
              <w:rPr>
                <w:i/>
                <w:iCs/>
                <w:color w:val="000000"/>
                <w:sz w:val="18"/>
                <w:szCs w:val="18"/>
              </w:rPr>
              <w:t>PRESSIONE FISCALE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FBD7" w14:textId="77777777" w:rsidR="0085054F" w:rsidRPr="0085054F" w:rsidRDefault="0085054F" w:rsidP="00612648">
            <w:pPr>
              <w:jc w:val="right"/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>18,45%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193C" w14:textId="77777777" w:rsidR="0085054F" w:rsidRPr="0085054F" w:rsidRDefault="0085054F" w:rsidP="00612648">
            <w:pPr>
              <w:jc w:val="right"/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>17,99%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DA21" w14:textId="77777777" w:rsidR="0085054F" w:rsidRPr="0085054F" w:rsidRDefault="0085054F" w:rsidP="00612648">
            <w:pPr>
              <w:jc w:val="right"/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>17,82%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0938" w14:textId="77777777" w:rsidR="0085054F" w:rsidRPr="0085054F" w:rsidRDefault="0085054F" w:rsidP="00612648">
            <w:pPr>
              <w:jc w:val="right"/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>17,78%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6C07" w14:textId="77777777" w:rsidR="0085054F" w:rsidRPr="0085054F" w:rsidRDefault="0085054F" w:rsidP="00612648">
            <w:pPr>
              <w:jc w:val="right"/>
              <w:rPr>
                <w:color w:val="000000"/>
                <w:sz w:val="18"/>
                <w:szCs w:val="18"/>
              </w:rPr>
            </w:pPr>
            <w:r w:rsidRPr="0085054F">
              <w:rPr>
                <w:color w:val="000000"/>
                <w:sz w:val="18"/>
                <w:szCs w:val="18"/>
              </w:rPr>
              <w:t>17,82%</w:t>
            </w:r>
          </w:p>
        </w:tc>
      </w:tr>
    </w:tbl>
    <w:p w14:paraId="10356F91" w14:textId="77777777" w:rsidR="0085054F" w:rsidRDefault="0085054F" w:rsidP="0085054F">
      <w:pPr>
        <w:jc w:val="both"/>
        <w:rPr>
          <w:i/>
          <w:iCs/>
          <w:sz w:val="20"/>
          <w:szCs w:val="20"/>
        </w:rPr>
      </w:pPr>
    </w:p>
    <w:p w14:paraId="65B4B680" w14:textId="658E3FB3" w:rsidR="00FA0ABD" w:rsidRDefault="0085054F" w:rsidP="0085054F">
      <w:pPr>
        <w:jc w:val="both"/>
        <w:rPr>
          <w:rFonts w:ascii="Calibri" w:eastAsiaTheme="majorEastAsia" w:hAnsi="Calibri" w:cstheme="majorBidi"/>
          <w:i/>
          <w:sz w:val="20"/>
          <w:szCs w:val="26"/>
        </w:rPr>
      </w:pPr>
      <w:r w:rsidRPr="00675ED5">
        <w:rPr>
          <w:i/>
          <w:iCs/>
          <w:sz w:val="20"/>
          <w:szCs w:val="20"/>
        </w:rPr>
        <w:t xml:space="preserve">Fonte: Elaborazioni FNC su dati Istat e </w:t>
      </w:r>
      <w:proofErr w:type="spellStart"/>
      <w:r w:rsidRPr="00675ED5">
        <w:rPr>
          <w:i/>
          <w:iCs/>
          <w:sz w:val="20"/>
          <w:szCs w:val="20"/>
        </w:rPr>
        <w:t>Mef</w:t>
      </w:r>
      <w:proofErr w:type="spellEnd"/>
      <w:r w:rsidRPr="00675ED5">
        <w:rPr>
          <w:i/>
          <w:iCs/>
          <w:sz w:val="20"/>
          <w:szCs w:val="20"/>
        </w:rPr>
        <w:t>. *Gettito tributario e contributivo a carico delle famiglie. **Per il 2019, stime effettuate sulla base del trend delle entrate tributarie mensili del periodo gennaio-ottobre 2019</w:t>
      </w:r>
    </w:p>
    <w:sectPr w:rsidR="00FA0ABD" w:rsidSect="000C480A">
      <w:headerReference w:type="default" r:id="rId12"/>
      <w:pgSz w:w="11906" w:h="16838"/>
      <w:pgMar w:top="187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C48AB" w14:textId="77777777" w:rsidR="00C4370E" w:rsidRDefault="00C4370E" w:rsidP="004B309A">
      <w:pPr>
        <w:spacing w:after="0" w:line="240" w:lineRule="auto"/>
      </w:pPr>
      <w:r>
        <w:separator/>
      </w:r>
    </w:p>
  </w:endnote>
  <w:endnote w:type="continuationSeparator" w:id="0">
    <w:p w14:paraId="43CFF3F2" w14:textId="77777777" w:rsidR="00C4370E" w:rsidRDefault="00C4370E" w:rsidP="004B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6DBAC" w14:textId="77777777" w:rsidR="00C4370E" w:rsidRDefault="00C4370E" w:rsidP="004B309A">
      <w:pPr>
        <w:spacing w:after="0" w:line="240" w:lineRule="auto"/>
      </w:pPr>
      <w:r>
        <w:separator/>
      </w:r>
    </w:p>
  </w:footnote>
  <w:footnote w:type="continuationSeparator" w:id="0">
    <w:p w14:paraId="204450BF" w14:textId="77777777" w:rsidR="00C4370E" w:rsidRDefault="00C4370E" w:rsidP="004B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6ED5" w14:textId="77777777" w:rsidR="008B7773" w:rsidRDefault="008B7773">
    <w:pPr>
      <w:pStyle w:val="Intestazione"/>
    </w:pPr>
    <w:r w:rsidRPr="007D7EE7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D6C0B0A" wp14:editId="4D8CE813">
          <wp:simplePos x="0" y="0"/>
          <wp:positionH relativeFrom="column">
            <wp:posOffset>4498975</wp:posOffset>
          </wp:positionH>
          <wp:positionV relativeFrom="paragraph">
            <wp:posOffset>28575</wp:posOffset>
          </wp:positionV>
          <wp:extent cx="1008000" cy="382662"/>
          <wp:effectExtent l="0" t="0" r="1905" b="0"/>
          <wp:wrapNone/>
          <wp:docPr id="25" name="Picture 4" descr="_assets/fnc-doc-assets-assets/logo-f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_assets/fnc-doc-assets-assets/logo-f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38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4D9A">
      <w:rPr>
        <w:noProof/>
        <w:lang w:eastAsia="it-IT"/>
      </w:rPr>
      <w:drawing>
        <wp:inline distT="0" distB="0" distL="0" distR="0" wp14:anchorId="1EB94298" wp14:editId="34A23774">
          <wp:extent cx="1620000" cy="531653"/>
          <wp:effectExtent l="0" t="0" r="0" b="1905"/>
          <wp:docPr id="2" name="Immagine 2" descr="C:\Users\delia\AppData\Local\Temp\Temp1_logo-consiglio.png.zip\logo-consigl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AppData\Local\Temp\Temp1_logo-consiglio.png.zip\logo-consigli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3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15C"/>
    <w:multiLevelType w:val="hybridMultilevel"/>
    <w:tmpl w:val="B0A88C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B0C"/>
    <w:multiLevelType w:val="hybridMultilevel"/>
    <w:tmpl w:val="89F29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5583"/>
    <w:multiLevelType w:val="hybridMultilevel"/>
    <w:tmpl w:val="B15E1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0FF5"/>
    <w:multiLevelType w:val="hybridMultilevel"/>
    <w:tmpl w:val="0CA21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00BE2"/>
    <w:multiLevelType w:val="hybridMultilevel"/>
    <w:tmpl w:val="3A0AF2CE"/>
    <w:lvl w:ilvl="0" w:tplc="550281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2344"/>
    <w:multiLevelType w:val="hybridMultilevel"/>
    <w:tmpl w:val="6590A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993"/>
    <w:multiLevelType w:val="hybridMultilevel"/>
    <w:tmpl w:val="48BCC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33D45"/>
    <w:multiLevelType w:val="hybridMultilevel"/>
    <w:tmpl w:val="67AA81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E65F9"/>
    <w:multiLevelType w:val="hybridMultilevel"/>
    <w:tmpl w:val="430CAA54"/>
    <w:lvl w:ilvl="0" w:tplc="1A162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0C05"/>
    <w:multiLevelType w:val="hybridMultilevel"/>
    <w:tmpl w:val="869A4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E6DE1"/>
    <w:multiLevelType w:val="hybridMultilevel"/>
    <w:tmpl w:val="D3EEF268"/>
    <w:lvl w:ilvl="0" w:tplc="1A162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43238"/>
    <w:multiLevelType w:val="hybridMultilevel"/>
    <w:tmpl w:val="A5924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06062"/>
    <w:multiLevelType w:val="hybridMultilevel"/>
    <w:tmpl w:val="E5020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E6E6D"/>
    <w:multiLevelType w:val="hybridMultilevel"/>
    <w:tmpl w:val="374A9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6266F"/>
    <w:multiLevelType w:val="hybridMultilevel"/>
    <w:tmpl w:val="5B08BDB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47F1BD4"/>
    <w:multiLevelType w:val="hybridMultilevel"/>
    <w:tmpl w:val="D47AD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90FF5"/>
    <w:multiLevelType w:val="hybridMultilevel"/>
    <w:tmpl w:val="503EDB1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03916"/>
    <w:multiLevelType w:val="hybridMultilevel"/>
    <w:tmpl w:val="2BE45390"/>
    <w:lvl w:ilvl="0" w:tplc="1EC6E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A2C57"/>
    <w:multiLevelType w:val="hybridMultilevel"/>
    <w:tmpl w:val="79206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371E1"/>
    <w:multiLevelType w:val="multilevel"/>
    <w:tmpl w:val="4C76E39A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3" w:hanging="1800"/>
      </w:pPr>
      <w:rPr>
        <w:rFonts w:hint="default"/>
      </w:rPr>
    </w:lvl>
  </w:abstractNum>
  <w:abstractNum w:abstractNumId="20" w15:restartNumberingAfterBreak="0">
    <w:nsid w:val="3BA90EB5"/>
    <w:multiLevelType w:val="hybridMultilevel"/>
    <w:tmpl w:val="E5021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35FC5"/>
    <w:multiLevelType w:val="multilevel"/>
    <w:tmpl w:val="CA76A9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FE20F64"/>
    <w:multiLevelType w:val="hybridMultilevel"/>
    <w:tmpl w:val="55DA0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52C94"/>
    <w:multiLevelType w:val="hybridMultilevel"/>
    <w:tmpl w:val="D8920C4C"/>
    <w:lvl w:ilvl="0" w:tplc="0D166C5E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C801E1"/>
    <w:multiLevelType w:val="hybridMultilevel"/>
    <w:tmpl w:val="904AE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B7A"/>
    <w:multiLevelType w:val="hybridMultilevel"/>
    <w:tmpl w:val="586C9D70"/>
    <w:lvl w:ilvl="0" w:tplc="E70A19C0">
      <w:start w:val="2"/>
      <w:numFmt w:val="bullet"/>
      <w:lvlText w:val="-"/>
      <w:lvlJc w:val="left"/>
      <w:pPr>
        <w:ind w:left="5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4E65333D"/>
    <w:multiLevelType w:val="hybridMultilevel"/>
    <w:tmpl w:val="DF2A0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67E3D"/>
    <w:multiLevelType w:val="hybridMultilevel"/>
    <w:tmpl w:val="64BCF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70A16"/>
    <w:multiLevelType w:val="hybridMultilevel"/>
    <w:tmpl w:val="1A4C53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84657"/>
    <w:multiLevelType w:val="hybridMultilevel"/>
    <w:tmpl w:val="5A90D3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177C6"/>
    <w:multiLevelType w:val="hybridMultilevel"/>
    <w:tmpl w:val="5C98C1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E4E17"/>
    <w:multiLevelType w:val="hybridMultilevel"/>
    <w:tmpl w:val="58BED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A083E"/>
    <w:multiLevelType w:val="hybridMultilevel"/>
    <w:tmpl w:val="E5020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A38"/>
    <w:multiLevelType w:val="hybridMultilevel"/>
    <w:tmpl w:val="0EFE7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704E8"/>
    <w:multiLevelType w:val="hybridMultilevel"/>
    <w:tmpl w:val="12D0F9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24251"/>
    <w:multiLevelType w:val="hybridMultilevel"/>
    <w:tmpl w:val="A0649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B2FB7"/>
    <w:multiLevelType w:val="hybridMultilevel"/>
    <w:tmpl w:val="2BE45390"/>
    <w:lvl w:ilvl="0" w:tplc="1EC6E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53C6A"/>
    <w:multiLevelType w:val="hybridMultilevel"/>
    <w:tmpl w:val="EC9A7D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A59C2"/>
    <w:multiLevelType w:val="hybridMultilevel"/>
    <w:tmpl w:val="4412B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7621E"/>
    <w:multiLevelType w:val="hybridMultilevel"/>
    <w:tmpl w:val="D5EEBF40"/>
    <w:lvl w:ilvl="0" w:tplc="F2A43D90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8D46B3"/>
    <w:multiLevelType w:val="hybridMultilevel"/>
    <w:tmpl w:val="EA7E9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211B0"/>
    <w:multiLevelType w:val="hybridMultilevel"/>
    <w:tmpl w:val="A300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815C7"/>
    <w:multiLevelType w:val="hybridMultilevel"/>
    <w:tmpl w:val="744635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54FE5"/>
    <w:multiLevelType w:val="hybridMultilevel"/>
    <w:tmpl w:val="7F58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B3DC1"/>
    <w:multiLevelType w:val="hybridMultilevel"/>
    <w:tmpl w:val="C22EF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D763F"/>
    <w:multiLevelType w:val="hybridMultilevel"/>
    <w:tmpl w:val="2BE45390"/>
    <w:lvl w:ilvl="0" w:tplc="1EC6E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0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36"/>
  </w:num>
  <w:num w:numId="9">
    <w:abstractNumId w:val="20"/>
  </w:num>
  <w:num w:numId="10">
    <w:abstractNumId w:val="5"/>
  </w:num>
  <w:num w:numId="11">
    <w:abstractNumId w:val="17"/>
  </w:num>
  <w:num w:numId="12">
    <w:abstractNumId w:val="38"/>
  </w:num>
  <w:num w:numId="13">
    <w:abstractNumId w:val="23"/>
  </w:num>
  <w:num w:numId="14">
    <w:abstractNumId w:val="35"/>
  </w:num>
  <w:num w:numId="15">
    <w:abstractNumId w:val="13"/>
  </w:num>
  <w:num w:numId="16">
    <w:abstractNumId w:val="45"/>
  </w:num>
  <w:num w:numId="17">
    <w:abstractNumId w:val="43"/>
  </w:num>
  <w:num w:numId="18">
    <w:abstractNumId w:val="1"/>
  </w:num>
  <w:num w:numId="19">
    <w:abstractNumId w:val="30"/>
  </w:num>
  <w:num w:numId="20">
    <w:abstractNumId w:val="15"/>
  </w:num>
  <w:num w:numId="21">
    <w:abstractNumId w:val="28"/>
  </w:num>
  <w:num w:numId="22">
    <w:abstractNumId w:val="0"/>
  </w:num>
  <w:num w:numId="23">
    <w:abstractNumId w:val="7"/>
  </w:num>
  <w:num w:numId="24">
    <w:abstractNumId w:val="42"/>
  </w:num>
  <w:num w:numId="25">
    <w:abstractNumId w:val="37"/>
  </w:num>
  <w:num w:numId="26">
    <w:abstractNumId w:val="29"/>
  </w:num>
  <w:num w:numId="27">
    <w:abstractNumId w:val="3"/>
  </w:num>
  <w:num w:numId="28">
    <w:abstractNumId w:val="41"/>
  </w:num>
  <w:num w:numId="29">
    <w:abstractNumId w:val="16"/>
  </w:num>
  <w:num w:numId="30">
    <w:abstractNumId w:val="11"/>
  </w:num>
  <w:num w:numId="31">
    <w:abstractNumId w:val="9"/>
  </w:num>
  <w:num w:numId="32">
    <w:abstractNumId w:val="34"/>
  </w:num>
  <w:num w:numId="33">
    <w:abstractNumId w:val="32"/>
  </w:num>
  <w:num w:numId="34">
    <w:abstractNumId w:val="21"/>
  </w:num>
  <w:num w:numId="35">
    <w:abstractNumId w:val="25"/>
  </w:num>
  <w:num w:numId="36">
    <w:abstractNumId w:val="12"/>
  </w:num>
  <w:num w:numId="37">
    <w:abstractNumId w:val="19"/>
  </w:num>
  <w:num w:numId="38">
    <w:abstractNumId w:val="39"/>
  </w:num>
  <w:num w:numId="39">
    <w:abstractNumId w:val="27"/>
  </w:num>
  <w:num w:numId="40">
    <w:abstractNumId w:val="44"/>
  </w:num>
  <w:num w:numId="41">
    <w:abstractNumId w:val="18"/>
  </w:num>
  <w:num w:numId="42">
    <w:abstractNumId w:val="26"/>
  </w:num>
  <w:num w:numId="43">
    <w:abstractNumId w:val="22"/>
  </w:num>
  <w:num w:numId="44">
    <w:abstractNumId w:val="33"/>
  </w:num>
  <w:num w:numId="45">
    <w:abstractNumId w:val="2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2E"/>
    <w:rsid w:val="000006FC"/>
    <w:rsid w:val="000011E4"/>
    <w:rsid w:val="000019D6"/>
    <w:rsid w:val="000061AD"/>
    <w:rsid w:val="00010137"/>
    <w:rsid w:val="00011118"/>
    <w:rsid w:val="00011EAC"/>
    <w:rsid w:val="00013DB4"/>
    <w:rsid w:val="0001612D"/>
    <w:rsid w:val="00016CDD"/>
    <w:rsid w:val="00020B6B"/>
    <w:rsid w:val="00021B7F"/>
    <w:rsid w:val="000236BA"/>
    <w:rsid w:val="00027B21"/>
    <w:rsid w:val="0003313D"/>
    <w:rsid w:val="000345CB"/>
    <w:rsid w:val="00037033"/>
    <w:rsid w:val="00041780"/>
    <w:rsid w:val="00042A98"/>
    <w:rsid w:val="0004609C"/>
    <w:rsid w:val="000514DC"/>
    <w:rsid w:val="000533DB"/>
    <w:rsid w:val="00053450"/>
    <w:rsid w:val="00055107"/>
    <w:rsid w:val="000551AF"/>
    <w:rsid w:val="000553CA"/>
    <w:rsid w:val="0005567D"/>
    <w:rsid w:val="00055BA6"/>
    <w:rsid w:val="00056611"/>
    <w:rsid w:val="0005671A"/>
    <w:rsid w:val="00060048"/>
    <w:rsid w:val="00061926"/>
    <w:rsid w:val="0006249A"/>
    <w:rsid w:val="00067108"/>
    <w:rsid w:val="00071F09"/>
    <w:rsid w:val="0007202E"/>
    <w:rsid w:val="00072251"/>
    <w:rsid w:val="0007422F"/>
    <w:rsid w:val="00074800"/>
    <w:rsid w:val="00077302"/>
    <w:rsid w:val="000777D7"/>
    <w:rsid w:val="00084FE1"/>
    <w:rsid w:val="000875D9"/>
    <w:rsid w:val="000903A8"/>
    <w:rsid w:val="0009059D"/>
    <w:rsid w:val="000932AA"/>
    <w:rsid w:val="00093A45"/>
    <w:rsid w:val="000961DD"/>
    <w:rsid w:val="00096F0E"/>
    <w:rsid w:val="000A1DDB"/>
    <w:rsid w:val="000A235A"/>
    <w:rsid w:val="000A3440"/>
    <w:rsid w:val="000A361E"/>
    <w:rsid w:val="000A5B49"/>
    <w:rsid w:val="000A61DE"/>
    <w:rsid w:val="000A6C85"/>
    <w:rsid w:val="000B0705"/>
    <w:rsid w:val="000B3D34"/>
    <w:rsid w:val="000B3EE7"/>
    <w:rsid w:val="000B5DF8"/>
    <w:rsid w:val="000B7F36"/>
    <w:rsid w:val="000C2F0D"/>
    <w:rsid w:val="000C480A"/>
    <w:rsid w:val="000C7805"/>
    <w:rsid w:val="000C7D46"/>
    <w:rsid w:val="000D03C9"/>
    <w:rsid w:val="000D1530"/>
    <w:rsid w:val="000D4FF3"/>
    <w:rsid w:val="000E2179"/>
    <w:rsid w:val="000E5373"/>
    <w:rsid w:val="000F09BE"/>
    <w:rsid w:val="000F18A6"/>
    <w:rsid w:val="000F2A8E"/>
    <w:rsid w:val="000F2C94"/>
    <w:rsid w:val="000F317D"/>
    <w:rsid w:val="000F46E2"/>
    <w:rsid w:val="000F6D73"/>
    <w:rsid w:val="00101778"/>
    <w:rsid w:val="00102663"/>
    <w:rsid w:val="00105B07"/>
    <w:rsid w:val="00106848"/>
    <w:rsid w:val="0010736F"/>
    <w:rsid w:val="001114D0"/>
    <w:rsid w:val="001128F8"/>
    <w:rsid w:val="00120D7E"/>
    <w:rsid w:val="00122DF1"/>
    <w:rsid w:val="00124857"/>
    <w:rsid w:val="001255B0"/>
    <w:rsid w:val="001273B3"/>
    <w:rsid w:val="00130998"/>
    <w:rsid w:val="00130BA0"/>
    <w:rsid w:val="00132221"/>
    <w:rsid w:val="00141026"/>
    <w:rsid w:val="00142426"/>
    <w:rsid w:val="00142B81"/>
    <w:rsid w:val="00145484"/>
    <w:rsid w:val="00145BDC"/>
    <w:rsid w:val="00146606"/>
    <w:rsid w:val="00146EBB"/>
    <w:rsid w:val="0014779F"/>
    <w:rsid w:val="001506EE"/>
    <w:rsid w:val="00151B73"/>
    <w:rsid w:val="00152E38"/>
    <w:rsid w:val="001551A5"/>
    <w:rsid w:val="00157D58"/>
    <w:rsid w:val="00160ACC"/>
    <w:rsid w:val="00160C6E"/>
    <w:rsid w:val="001610EE"/>
    <w:rsid w:val="0016373F"/>
    <w:rsid w:val="00166474"/>
    <w:rsid w:val="001677BF"/>
    <w:rsid w:val="00176D5F"/>
    <w:rsid w:val="00180E9D"/>
    <w:rsid w:val="0018101F"/>
    <w:rsid w:val="00182A28"/>
    <w:rsid w:val="001834F8"/>
    <w:rsid w:val="00183A83"/>
    <w:rsid w:val="0018747D"/>
    <w:rsid w:val="0018768E"/>
    <w:rsid w:val="001878EA"/>
    <w:rsid w:val="00191B81"/>
    <w:rsid w:val="001A4212"/>
    <w:rsid w:val="001A5AF0"/>
    <w:rsid w:val="001A5DB7"/>
    <w:rsid w:val="001A7613"/>
    <w:rsid w:val="001A7C5E"/>
    <w:rsid w:val="001A7E8A"/>
    <w:rsid w:val="001B3DAE"/>
    <w:rsid w:val="001B540F"/>
    <w:rsid w:val="001B5F49"/>
    <w:rsid w:val="001B6615"/>
    <w:rsid w:val="001B6DCD"/>
    <w:rsid w:val="001C273F"/>
    <w:rsid w:val="001C3063"/>
    <w:rsid w:val="001C30FD"/>
    <w:rsid w:val="001C31C2"/>
    <w:rsid w:val="001C400B"/>
    <w:rsid w:val="001D2679"/>
    <w:rsid w:val="001D2A9C"/>
    <w:rsid w:val="001D305B"/>
    <w:rsid w:val="001D4AC9"/>
    <w:rsid w:val="001D70F8"/>
    <w:rsid w:val="001D717D"/>
    <w:rsid w:val="001D76CF"/>
    <w:rsid w:val="001E05C8"/>
    <w:rsid w:val="001E1D83"/>
    <w:rsid w:val="001E3428"/>
    <w:rsid w:val="001E44F9"/>
    <w:rsid w:val="001E5403"/>
    <w:rsid w:val="001F273E"/>
    <w:rsid w:val="001F37CE"/>
    <w:rsid w:val="00205F67"/>
    <w:rsid w:val="00206A36"/>
    <w:rsid w:val="00213FCD"/>
    <w:rsid w:val="00220722"/>
    <w:rsid w:val="0022463F"/>
    <w:rsid w:val="002271C4"/>
    <w:rsid w:val="00231112"/>
    <w:rsid w:val="002334CC"/>
    <w:rsid w:val="002420EC"/>
    <w:rsid w:val="002428E9"/>
    <w:rsid w:val="00244A42"/>
    <w:rsid w:val="00250D7A"/>
    <w:rsid w:val="0025332D"/>
    <w:rsid w:val="002536B3"/>
    <w:rsid w:val="00254917"/>
    <w:rsid w:val="00262773"/>
    <w:rsid w:val="00262FB5"/>
    <w:rsid w:val="002661ED"/>
    <w:rsid w:val="00266758"/>
    <w:rsid w:val="002673A8"/>
    <w:rsid w:val="00270111"/>
    <w:rsid w:val="0027453E"/>
    <w:rsid w:val="00277397"/>
    <w:rsid w:val="00281739"/>
    <w:rsid w:val="00281D49"/>
    <w:rsid w:val="002824D9"/>
    <w:rsid w:val="0028445D"/>
    <w:rsid w:val="00284536"/>
    <w:rsid w:val="00287DF6"/>
    <w:rsid w:val="00292C86"/>
    <w:rsid w:val="00293443"/>
    <w:rsid w:val="002A06B1"/>
    <w:rsid w:val="002A2453"/>
    <w:rsid w:val="002A2C08"/>
    <w:rsid w:val="002A5088"/>
    <w:rsid w:val="002A5382"/>
    <w:rsid w:val="002A5872"/>
    <w:rsid w:val="002B0772"/>
    <w:rsid w:val="002B10E0"/>
    <w:rsid w:val="002B16C2"/>
    <w:rsid w:val="002B2FA7"/>
    <w:rsid w:val="002C1A55"/>
    <w:rsid w:val="002C3C94"/>
    <w:rsid w:val="002C44BC"/>
    <w:rsid w:val="002D0A05"/>
    <w:rsid w:val="002D23E3"/>
    <w:rsid w:val="002E3C9E"/>
    <w:rsid w:val="002F283E"/>
    <w:rsid w:val="002F29C8"/>
    <w:rsid w:val="002F4D11"/>
    <w:rsid w:val="00301B5E"/>
    <w:rsid w:val="00304BD8"/>
    <w:rsid w:val="00305F3A"/>
    <w:rsid w:val="00306D69"/>
    <w:rsid w:val="00310814"/>
    <w:rsid w:val="00310E6F"/>
    <w:rsid w:val="0031101B"/>
    <w:rsid w:val="00312564"/>
    <w:rsid w:val="00312FEA"/>
    <w:rsid w:val="003161BA"/>
    <w:rsid w:val="00317B35"/>
    <w:rsid w:val="00320A73"/>
    <w:rsid w:val="003239BF"/>
    <w:rsid w:val="00325C42"/>
    <w:rsid w:val="0033279B"/>
    <w:rsid w:val="00335E32"/>
    <w:rsid w:val="00336019"/>
    <w:rsid w:val="00344D5F"/>
    <w:rsid w:val="00344E98"/>
    <w:rsid w:val="00345A4D"/>
    <w:rsid w:val="00347DF8"/>
    <w:rsid w:val="00351EE8"/>
    <w:rsid w:val="00354D8E"/>
    <w:rsid w:val="0035528E"/>
    <w:rsid w:val="00355BBB"/>
    <w:rsid w:val="003571F8"/>
    <w:rsid w:val="00357A10"/>
    <w:rsid w:val="00360490"/>
    <w:rsid w:val="00361432"/>
    <w:rsid w:val="0036245D"/>
    <w:rsid w:val="00365B3D"/>
    <w:rsid w:val="00374A9D"/>
    <w:rsid w:val="00375592"/>
    <w:rsid w:val="00380AF7"/>
    <w:rsid w:val="00381F4A"/>
    <w:rsid w:val="00384065"/>
    <w:rsid w:val="003853F2"/>
    <w:rsid w:val="00390280"/>
    <w:rsid w:val="00391619"/>
    <w:rsid w:val="003948EB"/>
    <w:rsid w:val="003A0BF5"/>
    <w:rsid w:val="003A31E2"/>
    <w:rsid w:val="003A3F7D"/>
    <w:rsid w:val="003A6FCE"/>
    <w:rsid w:val="003B0D3B"/>
    <w:rsid w:val="003B24BD"/>
    <w:rsid w:val="003B322D"/>
    <w:rsid w:val="003B5281"/>
    <w:rsid w:val="003B72F9"/>
    <w:rsid w:val="003C0D62"/>
    <w:rsid w:val="003C1E98"/>
    <w:rsid w:val="003C3743"/>
    <w:rsid w:val="003C4001"/>
    <w:rsid w:val="003C4AF6"/>
    <w:rsid w:val="003D3B44"/>
    <w:rsid w:val="003D6187"/>
    <w:rsid w:val="003D6DE6"/>
    <w:rsid w:val="003E5A84"/>
    <w:rsid w:val="003F303F"/>
    <w:rsid w:val="003F48DF"/>
    <w:rsid w:val="003F5043"/>
    <w:rsid w:val="00400C24"/>
    <w:rsid w:val="00401DF7"/>
    <w:rsid w:val="00404A3A"/>
    <w:rsid w:val="00407A37"/>
    <w:rsid w:val="0041086C"/>
    <w:rsid w:val="00410E05"/>
    <w:rsid w:val="00411AB1"/>
    <w:rsid w:val="00415D2C"/>
    <w:rsid w:val="00420730"/>
    <w:rsid w:val="00421492"/>
    <w:rsid w:val="00423127"/>
    <w:rsid w:val="00424736"/>
    <w:rsid w:val="00425E37"/>
    <w:rsid w:val="004268A3"/>
    <w:rsid w:val="004327DA"/>
    <w:rsid w:val="0043416D"/>
    <w:rsid w:val="00435CCD"/>
    <w:rsid w:val="00435D05"/>
    <w:rsid w:val="0043672F"/>
    <w:rsid w:val="00446012"/>
    <w:rsid w:val="004524ED"/>
    <w:rsid w:val="00452A76"/>
    <w:rsid w:val="00453A31"/>
    <w:rsid w:val="00454296"/>
    <w:rsid w:val="00455098"/>
    <w:rsid w:val="0045632A"/>
    <w:rsid w:val="00456CE3"/>
    <w:rsid w:val="00460E2E"/>
    <w:rsid w:val="00462475"/>
    <w:rsid w:val="0046565E"/>
    <w:rsid w:val="004702B0"/>
    <w:rsid w:val="00471B59"/>
    <w:rsid w:val="00472A16"/>
    <w:rsid w:val="00472DBF"/>
    <w:rsid w:val="00472E60"/>
    <w:rsid w:val="00475F28"/>
    <w:rsid w:val="00484096"/>
    <w:rsid w:val="00485DAC"/>
    <w:rsid w:val="0048699F"/>
    <w:rsid w:val="00486F3C"/>
    <w:rsid w:val="00490029"/>
    <w:rsid w:val="00490BC5"/>
    <w:rsid w:val="00493177"/>
    <w:rsid w:val="00493C86"/>
    <w:rsid w:val="004975E4"/>
    <w:rsid w:val="004A010E"/>
    <w:rsid w:val="004A2C91"/>
    <w:rsid w:val="004A34F1"/>
    <w:rsid w:val="004A3FBD"/>
    <w:rsid w:val="004A5024"/>
    <w:rsid w:val="004A6281"/>
    <w:rsid w:val="004B0FFB"/>
    <w:rsid w:val="004B22F0"/>
    <w:rsid w:val="004B309A"/>
    <w:rsid w:val="004B5E27"/>
    <w:rsid w:val="004C3F71"/>
    <w:rsid w:val="004C46B3"/>
    <w:rsid w:val="004C79E8"/>
    <w:rsid w:val="004D14F1"/>
    <w:rsid w:val="004D4B15"/>
    <w:rsid w:val="004D60FE"/>
    <w:rsid w:val="004D6B32"/>
    <w:rsid w:val="004D72AD"/>
    <w:rsid w:val="004E0984"/>
    <w:rsid w:val="004E0FFB"/>
    <w:rsid w:val="004E3114"/>
    <w:rsid w:val="004E37BD"/>
    <w:rsid w:val="004E6A1C"/>
    <w:rsid w:val="004F21CB"/>
    <w:rsid w:val="004F39EA"/>
    <w:rsid w:val="004F77B6"/>
    <w:rsid w:val="00501A8C"/>
    <w:rsid w:val="0050258D"/>
    <w:rsid w:val="0050298E"/>
    <w:rsid w:val="005049CE"/>
    <w:rsid w:val="00504BAC"/>
    <w:rsid w:val="005053F5"/>
    <w:rsid w:val="00505783"/>
    <w:rsid w:val="00507B56"/>
    <w:rsid w:val="00510870"/>
    <w:rsid w:val="00511EF3"/>
    <w:rsid w:val="0052042D"/>
    <w:rsid w:val="0052200A"/>
    <w:rsid w:val="005226C3"/>
    <w:rsid w:val="0052295E"/>
    <w:rsid w:val="0052773E"/>
    <w:rsid w:val="00535C1E"/>
    <w:rsid w:val="00544905"/>
    <w:rsid w:val="005507A5"/>
    <w:rsid w:val="00550CF9"/>
    <w:rsid w:val="0055297D"/>
    <w:rsid w:val="00552DB7"/>
    <w:rsid w:val="005537CD"/>
    <w:rsid w:val="00554ECF"/>
    <w:rsid w:val="00556E6D"/>
    <w:rsid w:val="005573EF"/>
    <w:rsid w:val="00557422"/>
    <w:rsid w:val="0055768E"/>
    <w:rsid w:val="00557763"/>
    <w:rsid w:val="0056167A"/>
    <w:rsid w:val="00561883"/>
    <w:rsid w:val="005630EA"/>
    <w:rsid w:val="00563AA3"/>
    <w:rsid w:val="00565C5F"/>
    <w:rsid w:val="00570D00"/>
    <w:rsid w:val="00572022"/>
    <w:rsid w:val="0057674A"/>
    <w:rsid w:val="0057758C"/>
    <w:rsid w:val="00581DCE"/>
    <w:rsid w:val="0058678A"/>
    <w:rsid w:val="00591C65"/>
    <w:rsid w:val="00596095"/>
    <w:rsid w:val="005A40FA"/>
    <w:rsid w:val="005A7B00"/>
    <w:rsid w:val="005B08AF"/>
    <w:rsid w:val="005B0F92"/>
    <w:rsid w:val="005B142D"/>
    <w:rsid w:val="005B223F"/>
    <w:rsid w:val="005B4003"/>
    <w:rsid w:val="005C062E"/>
    <w:rsid w:val="005C1EF0"/>
    <w:rsid w:val="005C2CBD"/>
    <w:rsid w:val="005C53A5"/>
    <w:rsid w:val="005C585C"/>
    <w:rsid w:val="005D0DD6"/>
    <w:rsid w:val="005D12CB"/>
    <w:rsid w:val="005D2A9D"/>
    <w:rsid w:val="005D7093"/>
    <w:rsid w:val="005E00A4"/>
    <w:rsid w:val="005E3859"/>
    <w:rsid w:val="005E38DF"/>
    <w:rsid w:val="005E5551"/>
    <w:rsid w:val="005E72BD"/>
    <w:rsid w:val="005F564F"/>
    <w:rsid w:val="006024FF"/>
    <w:rsid w:val="00602B08"/>
    <w:rsid w:val="006037E2"/>
    <w:rsid w:val="0060469F"/>
    <w:rsid w:val="0060751D"/>
    <w:rsid w:val="00613B59"/>
    <w:rsid w:val="00621510"/>
    <w:rsid w:val="006239FE"/>
    <w:rsid w:val="00625E86"/>
    <w:rsid w:val="0063187D"/>
    <w:rsid w:val="00640232"/>
    <w:rsid w:val="00641893"/>
    <w:rsid w:val="006420A1"/>
    <w:rsid w:val="0064267D"/>
    <w:rsid w:val="00647CD9"/>
    <w:rsid w:val="0065053C"/>
    <w:rsid w:val="00650B64"/>
    <w:rsid w:val="006561E3"/>
    <w:rsid w:val="0065640B"/>
    <w:rsid w:val="0066060D"/>
    <w:rsid w:val="006607B2"/>
    <w:rsid w:val="00666EA8"/>
    <w:rsid w:val="006674E2"/>
    <w:rsid w:val="006701DB"/>
    <w:rsid w:val="00674516"/>
    <w:rsid w:val="006763FD"/>
    <w:rsid w:val="00682BE0"/>
    <w:rsid w:val="006839C1"/>
    <w:rsid w:val="00687533"/>
    <w:rsid w:val="00690109"/>
    <w:rsid w:val="00693AE5"/>
    <w:rsid w:val="00694349"/>
    <w:rsid w:val="0069469A"/>
    <w:rsid w:val="00694B39"/>
    <w:rsid w:val="00694B8F"/>
    <w:rsid w:val="00696157"/>
    <w:rsid w:val="00696724"/>
    <w:rsid w:val="006A1DD6"/>
    <w:rsid w:val="006A39DF"/>
    <w:rsid w:val="006A6CB8"/>
    <w:rsid w:val="006B4FEA"/>
    <w:rsid w:val="006B6215"/>
    <w:rsid w:val="006B6384"/>
    <w:rsid w:val="006B7B0A"/>
    <w:rsid w:val="006C00E8"/>
    <w:rsid w:val="006C1E8F"/>
    <w:rsid w:val="006C6A63"/>
    <w:rsid w:val="006D1D1A"/>
    <w:rsid w:val="006D4721"/>
    <w:rsid w:val="006D5F02"/>
    <w:rsid w:val="006D7FEA"/>
    <w:rsid w:val="006E6E37"/>
    <w:rsid w:val="006F15E9"/>
    <w:rsid w:val="006F2131"/>
    <w:rsid w:val="006F5E5C"/>
    <w:rsid w:val="006F70D2"/>
    <w:rsid w:val="00700B66"/>
    <w:rsid w:val="00702716"/>
    <w:rsid w:val="007029D9"/>
    <w:rsid w:val="0070597C"/>
    <w:rsid w:val="00710158"/>
    <w:rsid w:val="0071454A"/>
    <w:rsid w:val="007159E0"/>
    <w:rsid w:val="0072111D"/>
    <w:rsid w:val="00721359"/>
    <w:rsid w:val="00722C7A"/>
    <w:rsid w:val="00723A9A"/>
    <w:rsid w:val="00724C59"/>
    <w:rsid w:val="007251D4"/>
    <w:rsid w:val="00725C17"/>
    <w:rsid w:val="00731E10"/>
    <w:rsid w:val="007320C2"/>
    <w:rsid w:val="00732658"/>
    <w:rsid w:val="007337B2"/>
    <w:rsid w:val="0073506D"/>
    <w:rsid w:val="00736C5D"/>
    <w:rsid w:val="007402DE"/>
    <w:rsid w:val="00745211"/>
    <w:rsid w:val="0074540B"/>
    <w:rsid w:val="00745ABB"/>
    <w:rsid w:val="00746729"/>
    <w:rsid w:val="00746C1A"/>
    <w:rsid w:val="00746DF7"/>
    <w:rsid w:val="00750D5D"/>
    <w:rsid w:val="0075237F"/>
    <w:rsid w:val="00753233"/>
    <w:rsid w:val="00753248"/>
    <w:rsid w:val="00754EC8"/>
    <w:rsid w:val="00761105"/>
    <w:rsid w:val="007700EC"/>
    <w:rsid w:val="00771672"/>
    <w:rsid w:val="007746C2"/>
    <w:rsid w:val="00780796"/>
    <w:rsid w:val="00780B28"/>
    <w:rsid w:val="007876B9"/>
    <w:rsid w:val="00790221"/>
    <w:rsid w:val="00790D0A"/>
    <w:rsid w:val="00792096"/>
    <w:rsid w:val="00793445"/>
    <w:rsid w:val="007935DB"/>
    <w:rsid w:val="00797664"/>
    <w:rsid w:val="00797CF4"/>
    <w:rsid w:val="007A2755"/>
    <w:rsid w:val="007A4616"/>
    <w:rsid w:val="007B008B"/>
    <w:rsid w:val="007B1195"/>
    <w:rsid w:val="007B512D"/>
    <w:rsid w:val="007B5CB1"/>
    <w:rsid w:val="007B68F5"/>
    <w:rsid w:val="007C0F75"/>
    <w:rsid w:val="007C4809"/>
    <w:rsid w:val="007C63E9"/>
    <w:rsid w:val="007D049E"/>
    <w:rsid w:val="007D477C"/>
    <w:rsid w:val="007D5123"/>
    <w:rsid w:val="007D5C00"/>
    <w:rsid w:val="007D775D"/>
    <w:rsid w:val="007D7EE7"/>
    <w:rsid w:val="007E153E"/>
    <w:rsid w:val="007E2D86"/>
    <w:rsid w:val="007E4211"/>
    <w:rsid w:val="007E6E1B"/>
    <w:rsid w:val="007F010B"/>
    <w:rsid w:val="007F091C"/>
    <w:rsid w:val="007F0E63"/>
    <w:rsid w:val="007F1E5B"/>
    <w:rsid w:val="007F510E"/>
    <w:rsid w:val="00800CFF"/>
    <w:rsid w:val="00803362"/>
    <w:rsid w:val="00803957"/>
    <w:rsid w:val="00810A13"/>
    <w:rsid w:val="008126B4"/>
    <w:rsid w:val="00813869"/>
    <w:rsid w:val="0081447B"/>
    <w:rsid w:val="00816B40"/>
    <w:rsid w:val="00820913"/>
    <w:rsid w:val="008251DB"/>
    <w:rsid w:val="00825A09"/>
    <w:rsid w:val="00825B19"/>
    <w:rsid w:val="0082746C"/>
    <w:rsid w:val="00830519"/>
    <w:rsid w:val="00830791"/>
    <w:rsid w:val="00831F60"/>
    <w:rsid w:val="008339CE"/>
    <w:rsid w:val="0083435C"/>
    <w:rsid w:val="008347E7"/>
    <w:rsid w:val="00834B80"/>
    <w:rsid w:val="00836498"/>
    <w:rsid w:val="00836870"/>
    <w:rsid w:val="00837F82"/>
    <w:rsid w:val="00841334"/>
    <w:rsid w:val="008430CF"/>
    <w:rsid w:val="00846166"/>
    <w:rsid w:val="0084748E"/>
    <w:rsid w:val="0085054F"/>
    <w:rsid w:val="00854440"/>
    <w:rsid w:val="008550E0"/>
    <w:rsid w:val="00856892"/>
    <w:rsid w:val="00862F74"/>
    <w:rsid w:val="008727CB"/>
    <w:rsid w:val="008740C2"/>
    <w:rsid w:val="008753CD"/>
    <w:rsid w:val="008758D8"/>
    <w:rsid w:val="00876DD4"/>
    <w:rsid w:val="00881D4B"/>
    <w:rsid w:val="00883A39"/>
    <w:rsid w:val="00883C76"/>
    <w:rsid w:val="00885537"/>
    <w:rsid w:val="008868B0"/>
    <w:rsid w:val="00886E83"/>
    <w:rsid w:val="00887116"/>
    <w:rsid w:val="008915C0"/>
    <w:rsid w:val="00892313"/>
    <w:rsid w:val="00893787"/>
    <w:rsid w:val="00896A4B"/>
    <w:rsid w:val="008973F5"/>
    <w:rsid w:val="008A690B"/>
    <w:rsid w:val="008A718D"/>
    <w:rsid w:val="008B125F"/>
    <w:rsid w:val="008B1B1E"/>
    <w:rsid w:val="008B2C2C"/>
    <w:rsid w:val="008B4ED6"/>
    <w:rsid w:val="008B70DF"/>
    <w:rsid w:val="008B7773"/>
    <w:rsid w:val="008C26ED"/>
    <w:rsid w:val="008C2758"/>
    <w:rsid w:val="008C386D"/>
    <w:rsid w:val="008C56A3"/>
    <w:rsid w:val="008D1E2E"/>
    <w:rsid w:val="008D5298"/>
    <w:rsid w:val="008D5A29"/>
    <w:rsid w:val="008E2E1B"/>
    <w:rsid w:val="008E3D9D"/>
    <w:rsid w:val="008E52CC"/>
    <w:rsid w:val="008E7E40"/>
    <w:rsid w:val="008E7FE0"/>
    <w:rsid w:val="008F0394"/>
    <w:rsid w:val="008F44BA"/>
    <w:rsid w:val="008F540A"/>
    <w:rsid w:val="008F6B52"/>
    <w:rsid w:val="008F7B9D"/>
    <w:rsid w:val="00901691"/>
    <w:rsid w:val="0090359C"/>
    <w:rsid w:val="00904458"/>
    <w:rsid w:val="00904812"/>
    <w:rsid w:val="00906083"/>
    <w:rsid w:val="00912DB0"/>
    <w:rsid w:val="009157D9"/>
    <w:rsid w:val="00916CE5"/>
    <w:rsid w:val="00917775"/>
    <w:rsid w:val="00920550"/>
    <w:rsid w:val="00920672"/>
    <w:rsid w:val="00920CCB"/>
    <w:rsid w:val="00923467"/>
    <w:rsid w:val="009269AF"/>
    <w:rsid w:val="00930343"/>
    <w:rsid w:val="009316AA"/>
    <w:rsid w:val="00931B19"/>
    <w:rsid w:val="009329B9"/>
    <w:rsid w:val="009345D9"/>
    <w:rsid w:val="00935420"/>
    <w:rsid w:val="0094017D"/>
    <w:rsid w:val="00942306"/>
    <w:rsid w:val="00945F17"/>
    <w:rsid w:val="00952E5F"/>
    <w:rsid w:val="009559E8"/>
    <w:rsid w:val="009570F7"/>
    <w:rsid w:val="009646C4"/>
    <w:rsid w:val="009669BE"/>
    <w:rsid w:val="009738FF"/>
    <w:rsid w:val="009741B1"/>
    <w:rsid w:val="00981490"/>
    <w:rsid w:val="00983777"/>
    <w:rsid w:val="0098518A"/>
    <w:rsid w:val="00985415"/>
    <w:rsid w:val="00990D24"/>
    <w:rsid w:val="009945AE"/>
    <w:rsid w:val="0099519E"/>
    <w:rsid w:val="009971FE"/>
    <w:rsid w:val="009A188E"/>
    <w:rsid w:val="009A52FE"/>
    <w:rsid w:val="009B06ED"/>
    <w:rsid w:val="009B0C9D"/>
    <w:rsid w:val="009B7FBD"/>
    <w:rsid w:val="009C0C87"/>
    <w:rsid w:val="009C2B52"/>
    <w:rsid w:val="009C383F"/>
    <w:rsid w:val="009C5C3C"/>
    <w:rsid w:val="009C7FF3"/>
    <w:rsid w:val="009D3D63"/>
    <w:rsid w:val="009D62A4"/>
    <w:rsid w:val="009E2786"/>
    <w:rsid w:val="009F050A"/>
    <w:rsid w:val="009F0FDF"/>
    <w:rsid w:val="009F10CE"/>
    <w:rsid w:val="009F50A1"/>
    <w:rsid w:val="009F6DFD"/>
    <w:rsid w:val="00A005F2"/>
    <w:rsid w:val="00A02A7A"/>
    <w:rsid w:val="00A04395"/>
    <w:rsid w:val="00A049A2"/>
    <w:rsid w:val="00A05701"/>
    <w:rsid w:val="00A07854"/>
    <w:rsid w:val="00A07960"/>
    <w:rsid w:val="00A203D4"/>
    <w:rsid w:val="00A218F9"/>
    <w:rsid w:val="00A23C8A"/>
    <w:rsid w:val="00A307DD"/>
    <w:rsid w:val="00A346A7"/>
    <w:rsid w:val="00A34AB7"/>
    <w:rsid w:val="00A45984"/>
    <w:rsid w:val="00A52800"/>
    <w:rsid w:val="00A54615"/>
    <w:rsid w:val="00A6149C"/>
    <w:rsid w:val="00A6713C"/>
    <w:rsid w:val="00A674DC"/>
    <w:rsid w:val="00A70CBE"/>
    <w:rsid w:val="00A7328F"/>
    <w:rsid w:val="00A74C62"/>
    <w:rsid w:val="00A82423"/>
    <w:rsid w:val="00A8517A"/>
    <w:rsid w:val="00A858FB"/>
    <w:rsid w:val="00A85F92"/>
    <w:rsid w:val="00A86E35"/>
    <w:rsid w:val="00A878C1"/>
    <w:rsid w:val="00A9060A"/>
    <w:rsid w:val="00A9181A"/>
    <w:rsid w:val="00A935F3"/>
    <w:rsid w:val="00A943FE"/>
    <w:rsid w:val="00A945E4"/>
    <w:rsid w:val="00A9616A"/>
    <w:rsid w:val="00A96D36"/>
    <w:rsid w:val="00A97927"/>
    <w:rsid w:val="00AA1999"/>
    <w:rsid w:val="00AA4669"/>
    <w:rsid w:val="00AA6304"/>
    <w:rsid w:val="00AA76B3"/>
    <w:rsid w:val="00AB2B74"/>
    <w:rsid w:val="00AB462E"/>
    <w:rsid w:val="00AB509D"/>
    <w:rsid w:val="00AB7870"/>
    <w:rsid w:val="00AC0B5F"/>
    <w:rsid w:val="00AC0B70"/>
    <w:rsid w:val="00AC2C51"/>
    <w:rsid w:val="00AC592C"/>
    <w:rsid w:val="00AD0A96"/>
    <w:rsid w:val="00AD5928"/>
    <w:rsid w:val="00AD5C3B"/>
    <w:rsid w:val="00AD5C60"/>
    <w:rsid w:val="00AE0186"/>
    <w:rsid w:val="00AE071F"/>
    <w:rsid w:val="00AE2355"/>
    <w:rsid w:val="00AE39A0"/>
    <w:rsid w:val="00AE4468"/>
    <w:rsid w:val="00AE66AE"/>
    <w:rsid w:val="00AE6C37"/>
    <w:rsid w:val="00AE7AD3"/>
    <w:rsid w:val="00AF1CF0"/>
    <w:rsid w:val="00AF2C83"/>
    <w:rsid w:val="00AF3480"/>
    <w:rsid w:val="00AF3ADC"/>
    <w:rsid w:val="00AF4E73"/>
    <w:rsid w:val="00AF653B"/>
    <w:rsid w:val="00B02BA0"/>
    <w:rsid w:val="00B10985"/>
    <w:rsid w:val="00B1240C"/>
    <w:rsid w:val="00B15479"/>
    <w:rsid w:val="00B212B2"/>
    <w:rsid w:val="00B215BD"/>
    <w:rsid w:val="00B2645B"/>
    <w:rsid w:val="00B27EAD"/>
    <w:rsid w:val="00B32136"/>
    <w:rsid w:val="00B3640C"/>
    <w:rsid w:val="00B42617"/>
    <w:rsid w:val="00B46A80"/>
    <w:rsid w:val="00B47008"/>
    <w:rsid w:val="00B5148E"/>
    <w:rsid w:val="00B54D25"/>
    <w:rsid w:val="00B6077C"/>
    <w:rsid w:val="00B6280A"/>
    <w:rsid w:val="00B635C8"/>
    <w:rsid w:val="00B64F03"/>
    <w:rsid w:val="00B64FDA"/>
    <w:rsid w:val="00B6640F"/>
    <w:rsid w:val="00B66D90"/>
    <w:rsid w:val="00B66E9E"/>
    <w:rsid w:val="00B71524"/>
    <w:rsid w:val="00B76E99"/>
    <w:rsid w:val="00B82177"/>
    <w:rsid w:val="00B932FA"/>
    <w:rsid w:val="00B952C0"/>
    <w:rsid w:val="00BA0D07"/>
    <w:rsid w:val="00BA1664"/>
    <w:rsid w:val="00BA23AD"/>
    <w:rsid w:val="00BA303A"/>
    <w:rsid w:val="00BA3061"/>
    <w:rsid w:val="00BA4662"/>
    <w:rsid w:val="00BA66B6"/>
    <w:rsid w:val="00BB318F"/>
    <w:rsid w:val="00BC1954"/>
    <w:rsid w:val="00BC286D"/>
    <w:rsid w:val="00BD50AE"/>
    <w:rsid w:val="00BD5247"/>
    <w:rsid w:val="00BD578B"/>
    <w:rsid w:val="00BD6846"/>
    <w:rsid w:val="00BE312A"/>
    <w:rsid w:val="00BE4303"/>
    <w:rsid w:val="00BE55BE"/>
    <w:rsid w:val="00BE773E"/>
    <w:rsid w:val="00BF11C1"/>
    <w:rsid w:val="00BF423C"/>
    <w:rsid w:val="00BF79CF"/>
    <w:rsid w:val="00C00E49"/>
    <w:rsid w:val="00C02B98"/>
    <w:rsid w:val="00C05EA6"/>
    <w:rsid w:val="00C06C7E"/>
    <w:rsid w:val="00C100E8"/>
    <w:rsid w:val="00C12263"/>
    <w:rsid w:val="00C14A85"/>
    <w:rsid w:val="00C2097B"/>
    <w:rsid w:val="00C2295A"/>
    <w:rsid w:val="00C22E5C"/>
    <w:rsid w:val="00C244D4"/>
    <w:rsid w:val="00C3173B"/>
    <w:rsid w:val="00C33C40"/>
    <w:rsid w:val="00C37F5E"/>
    <w:rsid w:val="00C40A18"/>
    <w:rsid w:val="00C40D40"/>
    <w:rsid w:val="00C4142D"/>
    <w:rsid w:val="00C429DD"/>
    <w:rsid w:val="00C4370E"/>
    <w:rsid w:val="00C43E9C"/>
    <w:rsid w:val="00C44ED8"/>
    <w:rsid w:val="00C503CD"/>
    <w:rsid w:val="00C5154E"/>
    <w:rsid w:val="00C528DB"/>
    <w:rsid w:val="00C6089F"/>
    <w:rsid w:val="00C611A6"/>
    <w:rsid w:val="00C613FE"/>
    <w:rsid w:val="00C62B55"/>
    <w:rsid w:val="00C63CD0"/>
    <w:rsid w:val="00C64D9A"/>
    <w:rsid w:val="00C66176"/>
    <w:rsid w:val="00C71330"/>
    <w:rsid w:val="00C71F07"/>
    <w:rsid w:val="00C72768"/>
    <w:rsid w:val="00C73CDA"/>
    <w:rsid w:val="00C7588F"/>
    <w:rsid w:val="00C77925"/>
    <w:rsid w:val="00C827F0"/>
    <w:rsid w:val="00C84648"/>
    <w:rsid w:val="00C8574B"/>
    <w:rsid w:val="00C86811"/>
    <w:rsid w:val="00C8706D"/>
    <w:rsid w:val="00C9214F"/>
    <w:rsid w:val="00C92231"/>
    <w:rsid w:val="00C93124"/>
    <w:rsid w:val="00C939FF"/>
    <w:rsid w:val="00C947B4"/>
    <w:rsid w:val="00C94A06"/>
    <w:rsid w:val="00C94B82"/>
    <w:rsid w:val="00C9551B"/>
    <w:rsid w:val="00C966A4"/>
    <w:rsid w:val="00CA0B42"/>
    <w:rsid w:val="00CA2084"/>
    <w:rsid w:val="00CA4A8E"/>
    <w:rsid w:val="00CC0D94"/>
    <w:rsid w:val="00CC23DE"/>
    <w:rsid w:val="00CC7016"/>
    <w:rsid w:val="00CD0137"/>
    <w:rsid w:val="00CD3229"/>
    <w:rsid w:val="00CD64EA"/>
    <w:rsid w:val="00CD7F52"/>
    <w:rsid w:val="00CE0AF4"/>
    <w:rsid w:val="00CE0B80"/>
    <w:rsid w:val="00CE65D8"/>
    <w:rsid w:val="00CE7C45"/>
    <w:rsid w:val="00CF0C00"/>
    <w:rsid w:val="00CF1A64"/>
    <w:rsid w:val="00CF21F3"/>
    <w:rsid w:val="00CF264D"/>
    <w:rsid w:val="00CF4102"/>
    <w:rsid w:val="00CF44A5"/>
    <w:rsid w:val="00CF4ADB"/>
    <w:rsid w:val="00CF4B15"/>
    <w:rsid w:val="00CF5E52"/>
    <w:rsid w:val="00CF74CC"/>
    <w:rsid w:val="00D00D0E"/>
    <w:rsid w:val="00D03E1C"/>
    <w:rsid w:val="00D068C9"/>
    <w:rsid w:val="00D122C2"/>
    <w:rsid w:val="00D12833"/>
    <w:rsid w:val="00D17624"/>
    <w:rsid w:val="00D17EB8"/>
    <w:rsid w:val="00D213EA"/>
    <w:rsid w:val="00D21E74"/>
    <w:rsid w:val="00D22E19"/>
    <w:rsid w:val="00D23C83"/>
    <w:rsid w:val="00D2639C"/>
    <w:rsid w:val="00D30F78"/>
    <w:rsid w:val="00D33C81"/>
    <w:rsid w:val="00D34483"/>
    <w:rsid w:val="00D359BD"/>
    <w:rsid w:val="00D37DBC"/>
    <w:rsid w:val="00D450E9"/>
    <w:rsid w:val="00D45781"/>
    <w:rsid w:val="00D468A3"/>
    <w:rsid w:val="00D47DCE"/>
    <w:rsid w:val="00D5398A"/>
    <w:rsid w:val="00D53B56"/>
    <w:rsid w:val="00D54FD3"/>
    <w:rsid w:val="00D574A6"/>
    <w:rsid w:val="00D716C0"/>
    <w:rsid w:val="00D73363"/>
    <w:rsid w:val="00D7475D"/>
    <w:rsid w:val="00D76826"/>
    <w:rsid w:val="00D82B34"/>
    <w:rsid w:val="00D82EA6"/>
    <w:rsid w:val="00D832C8"/>
    <w:rsid w:val="00D876D6"/>
    <w:rsid w:val="00D92A4C"/>
    <w:rsid w:val="00D92D48"/>
    <w:rsid w:val="00D961A3"/>
    <w:rsid w:val="00DA3952"/>
    <w:rsid w:val="00DA39E5"/>
    <w:rsid w:val="00DA60E1"/>
    <w:rsid w:val="00DA66A6"/>
    <w:rsid w:val="00DB1679"/>
    <w:rsid w:val="00DB308F"/>
    <w:rsid w:val="00DB7C79"/>
    <w:rsid w:val="00DC46FB"/>
    <w:rsid w:val="00DC47CA"/>
    <w:rsid w:val="00DC4817"/>
    <w:rsid w:val="00DC6376"/>
    <w:rsid w:val="00DC6B09"/>
    <w:rsid w:val="00DD410C"/>
    <w:rsid w:val="00DD62D6"/>
    <w:rsid w:val="00DD709C"/>
    <w:rsid w:val="00DE0A42"/>
    <w:rsid w:val="00DE0AB1"/>
    <w:rsid w:val="00DE2A39"/>
    <w:rsid w:val="00DE37A2"/>
    <w:rsid w:val="00DE7A0F"/>
    <w:rsid w:val="00DF209D"/>
    <w:rsid w:val="00DF362F"/>
    <w:rsid w:val="00DF48FC"/>
    <w:rsid w:val="00DF4F19"/>
    <w:rsid w:val="00E005AD"/>
    <w:rsid w:val="00E01377"/>
    <w:rsid w:val="00E01B3F"/>
    <w:rsid w:val="00E04782"/>
    <w:rsid w:val="00E11F68"/>
    <w:rsid w:val="00E12CE0"/>
    <w:rsid w:val="00E13420"/>
    <w:rsid w:val="00E14159"/>
    <w:rsid w:val="00E1686F"/>
    <w:rsid w:val="00E17B51"/>
    <w:rsid w:val="00E24F0A"/>
    <w:rsid w:val="00E255D0"/>
    <w:rsid w:val="00E26AB3"/>
    <w:rsid w:val="00E27715"/>
    <w:rsid w:val="00E31BFA"/>
    <w:rsid w:val="00E31E43"/>
    <w:rsid w:val="00E33596"/>
    <w:rsid w:val="00E33D6F"/>
    <w:rsid w:val="00E35152"/>
    <w:rsid w:val="00E37387"/>
    <w:rsid w:val="00E374D6"/>
    <w:rsid w:val="00E406F2"/>
    <w:rsid w:val="00E4249B"/>
    <w:rsid w:val="00E4534F"/>
    <w:rsid w:val="00E46357"/>
    <w:rsid w:val="00E51762"/>
    <w:rsid w:val="00E517C6"/>
    <w:rsid w:val="00E5220E"/>
    <w:rsid w:val="00E5453D"/>
    <w:rsid w:val="00E54709"/>
    <w:rsid w:val="00E552D1"/>
    <w:rsid w:val="00E5665D"/>
    <w:rsid w:val="00E62491"/>
    <w:rsid w:val="00E635E7"/>
    <w:rsid w:val="00E64811"/>
    <w:rsid w:val="00E65336"/>
    <w:rsid w:val="00E67AF0"/>
    <w:rsid w:val="00E727FF"/>
    <w:rsid w:val="00E729A3"/>
    <w:rsid w:val="00E737AD"/>
    <w:rsid w:val="00E74937"/>
    <w:rsid w:val="00E7578D"/>
    <w:rsid w:val="00E82048"/>
    <w:rsid w:val="00E82BE8"/>
    <w:rsid w:val="00E85205"/>
    <w:rsid w:val="00E86D5E"/>
    <w:rsid w:val="00E90F3A"/>
    <w:rsid w:val="00E91BA2"/>
    <w:rsid w:val="00E927CB"/>
    <w:rsid w:val="00E93254"/>
    <w:rsid w:val="00E95201"/>
    <w:rsid w:val="00E95DF9"/>
    <w:rsid w:val="00E96C4C"/>
    <w:rsid w:val="00E9771C"/>
    <w:rsid w:val="00EA1C33"/>
    <w:rsid w:val="00EA2382"/>
    <w:rsid w:val="00EA2462"/>
    <w:rsid w:val="00EA3B82"/>
    <w:rsid w:val="00EA4364"/>
    <w:rsid w:val="00EA4D9B"/>
    <w:rsid w:val="00EA4F23"/>
    <w:rsid w:val="00EA54D1"/>
    <w:rsid w:val="00EA5EA2"/>
    <w:rsid w:val="00EB2C70"/>
    <w:rsid w:val="00EB3649"/>
    <w:rsid w:val="00EB60B6"/>
    <w:rsid w:val="00EB65A8"/>
    <w:rsid w:val="00EB69CD"/>
    <w:rsid w:val="00EC419C"/>
    <w:rsid w:val="00EC449E"/>
    <w:rsid w:val="00EC4D7F"/>
    <w:rsid w:val="00EC54E5"/>
    <w:rsid w:val="00ED05E3"/>
    <w:rsid w:val="00ED0B1B"/>
    <w:rsid w:val="00ED2A90"/>
    <w:rsid w:val="00ED3155"/>
    <w:rsid w:val="00ED3BD3"/>
    <w:rsid w:val="00EE05C7"/>
    <w:rsid w:val="00EE2872"/>
    <w:rsid w:val="00EE2C48"/>
    <w:rsid w:val="00EE4085"/>
    <w:rsid w:val="00EE52F6"/>
    <w:rsid w:val="00EE6E9F"/>
    <w:rsid w:val="00EF0481"/>
    <w:rsid w:val="00EF246B"/>
    <w:rsid w:val="00EF42F6"/>
    <w:rsid w:val="00EF4DD9"/>
    <w:rsid w:val="00EF59C8"/>
    <w:rsid w:val="00EF5DCA"/>
    <w:rsid w:val="00EF656B"/>
    <w:rsid w:val="00F01DF8"/>
    <w:rsid w:val="00F024BE"/>
    <w:rsid w:val="00F040AE"/>
    <w:rsid w:val="00F047C6"/>
    <w:rsid w:val="00F06F5F"/>
    <w:rsid w:val="00F07A39"/>
    <w:rsid w:val="00F11A49"/>
    <w:rsid w:val="00F126B2"/>
    <w:rsid w:val="00F13D08"/>
    <w:rsid w:val="00F212B0"/>
    <w:rsid w:val="00F213EA"/>
    <w:rsid w:val="00F24D22"/>
    <w:rsid w:val="00F25820"/>
    <w:rsid w:val="00F263D6"/>
    <w:rsid w:val="00F3062D"/>
    <w:rsid w:val="00F34732"/>
    <w:rsid w:val="00F3499E"/>
    <w:rsid w:val="00F37AC3"/>
    <w:rsid w:val="00F41B4D"/>
    <w:rsid w:val="00F431C9"/>
    <w:rsid w:val="00F44B86"/>
    <w:rsid w:val="00F45769"/>
    <w:rsid w:val="00F50807"/>
    <w:rsid w:val="00F50F82"/>
    <w:rsid w:val="00F51E24"/>
    <w:rsid w:val="00F523FF"/>
    <w:rsid w:val="00F53393"/>
    <w:rsid w:val="00F556C8"/>
    <w:rsid w:val="00F631AD"/>
    <w:rsid w:val="00F63364"/>
    <w:rsid w:val="00F63A7C"/>
    <w:rsid w:val="00F73361"/>
    <w:rsid w:val="00F8059D"/>
    <w:rsid w:val="00F83593"/>
    <w:rsid w:val="00F874AA"/>
    <w:rsid w:val="00F92ED1"/>
    <w:rsid w:val="00F93F89"/>
    <w:rsid w:val="00F94082"/>
    <w:rsid w:val="00F95ADA"/>
    <w:rsid w:val="00F96591"/>
    <w:rsid w:val="00F977A5"/>
    <w:rsid w:val="00FA099D"/>
    <w:rsid w:val="00FA0ABD"/>
    <w:rsid w:val="00FA2AC4"/>
    <w:rsid w:val="00FA4FF9"/>
    <w:rsid w:val="00FB03F7"/>
    <w:rsid w:val="00FC1214"/>
    <w:rsid w:val="00FC339D"/>
    <w:rsid w:val="00FC59A1"/>
    <w:rsid w:val="00FC691E"/>
    <w:rsid w:val="00FC6B9F"/>
    <w:rsid w:val="00FC7A70"/>
    <w:rsid w:val="00FD1F79"/>
    <w:rsid w:val="00FD4715"/>
    <w:rsid w:val="00FD4D5B"/>
    <w:rsid w:val="00FD623B"/>
    <w:rsid w:val="00FD7DCC"/>
    <w:rsid w:val="00FE3E6F"/>
    <w:rsid w:val="00FE46DD"/>
    <w:rsid w:val="00FE712F"/>
    <w:rsid w:val="00FF7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FE103"/>
  <w15:docId w15:val="{156FAF02-1283-41D9-BDF9-1AEC01F2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086C"/>
  </w:style>
  <w:style w:type="paragraph" w:styleId="Titolo1">
    <w:name w:val="heading 1"/>
    <w:basedOn w:val="Normale"/>
    <w:next w:val="Normale"/>
    <w:link w:val="Titolo1Carattere"/>
    <w:uiPriority w:val="9"/>
    <w:qFormat/>
    <w:rsid w:val="00ED2A90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6A4B"/>
    <w:pPr>
      <w:keepNext/>
      <w:keepLines/>
      <w:spacing w:before="240" w:after="120" w:line="240" w:lineRule="auto"/>
      <w:jc w:val="both"/>
      <w:outlineLvl w:val="1"/>
    </w:pPr>
    <w:rPr>
      <w:rFonts w:ascii="Calibri" w:eastAsiaTheme="majorEastAsia" w:hAnsi="Calibri" w:cstheme="majorBidi"/>
      <w:sz w:val="20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3E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BA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5EA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30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30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309A"/>
    <w:rPr>
      <w:vertAlign w:val="superscript"/>
    </w:rPr>
  </w:style>
  <w:style w:type="character" w:customStyle="1" w:styleId="tgc">
    <w:name w:val="_tgc"/>
    <w:basedOn w:val="Carpredefinitoparagrafo"/>
    <w:rsid w:val="003B72F9"/>
  </w:style>
  <w:style w:type="table" w:styleId="Grigliatabella">
    <w:name w:val="Table Grid"/>
    <w:basedOn w:val="Tabellanormale"/>
    <w:uiPriority w:val="39"/>
    <w:rsid w:val="00C6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FB5"/>
  </w:style>
  <w:style w:type="paragraph" w:styleId="Pidipagina">
    <w:name w:val="footer"/>
    <w:basedOn w:val="Normale"/>
    <w:link w:val="PidipaginaCarattere"/>
    <w:uiPriority w:val="99"/>
    <w:unhideWhenUsed/>
    <w:rsid w:val="00262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FB5"/>
  </w:style>
  <w:style w:type="paragraph" w:styleId="Didascalia">
    <w:name w:val="caption"/>
    <w:basedOn w:val="Normale"/>
    <w:next w:val="Normale"/>
    <w:uiPriority w:val="35"/>
    <w:unhideWhenUsed/>
    <w:qFormat/>
    <w:rsid w:val="00D468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63C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C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CD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C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CD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D623B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896A4B"/>
    <w:rPr>
      <w:rFonts w:ascii="Calibri" w:eastAsiaTheme="majorEastAsia" w:hAnsi="Calibri" w:cstheme="majorBidi"/>
      <w:sz w:val="20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2A90"/>
    <w:rPr>
      <w:rFonts w:eastAsiaTheme="majorEastAsia" w:cstheme="majorBidi"/>
      <w:b/>
      <w:sz w:val="24"/>
      <w:szCs w:val="32"/>
    </w:rPr>
  </w:style>
  <w:style w:type="character" w:styleId="Enfasidelicata">
    <w:name w:val="Subtle Emphasis"/>
    <w:basedOn w:val="Carpredefinitoparagrafo"/>
    <w:uiPriority w:val="19"/>
    <w:qFormat/>
    <w:rsid w:val="006C00E8"/>
    <w:rPr>
      <w:i/>
      <w:iCs/>
      <w:color w:val="404040" w:themeColor="text1" w:themeTint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3E1C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nfasicorsivo">
    <w:name w:val="Emphasis"/>
    <w:basedOn w:val="Carpredefinitoparagrafo"/>
    <w:uiPriority w:val="20"/>
    <w:qFormat/>
    <w:rsid w:val="00D03E1C"/>
    <w:rPr>
      <w:i/>
      <w:iCs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D03E1C"/>
    <w:pPr>
      <w:keepNext/>
      <w:spacing w:before="40" w:after="0" w:line="240" w:lineRule="auto"/>
      <w:ind w:right="-675"/>
    </w:pPr>
    <w:rPr>
      <w:rFonts w:ascii="Garamond" w:eastAsia="Calibri" w:hAnsi="Garamond" w:cs="Times New Roman"/>
      <w:b/>
      <w:bCs/>
      <w:smallCaps/>
      <w:spacing w:val="-10"/>
      <w:sz w:val="5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D03E1C"/>
    <w:rPr>
      <w:rFonts w:ascii="Garamond" w:eastAsia="Calibri" w:hAnsi="Garamond" w:cs="Times New Roman"/>
      <w:b/>
      <w:bCs/>
      <w:smallCaps/>
      <w:spacing w:val="-10"/>
      <w:sz w:val="56"/>
      <w:szCs w:val="36"/>
    </w:rPr>
  </w:style>
  <w:style w:type="paragraph" w:customStyle="1" w:styleId="Categoria">
    <w:name w:val="Categoria"/>
    <w:basedOn w:val="Normale"/>
    <w:qFormat/>
    <w:rsid w:val="00D03E1C"/>
    <w:pPr>
      <w:spacing w:before="240" w:after="0" w:line="240" w:lineRule="auto"/>
    </w:pPr>
    <w:rPr>
      <w:b/>
      <w:bCs/>
      <w:caps/>
      <w:sz w:val="20"/>
      <w:szCs w:val="20"/>
      <w:lang w:val="en-GB"/>
    </w:rPr>
  </w:style>
  <w:style w:type="paragraph" w:customStyle="1" w:styleId="Data1">
    <w:name w:val="Data1"/>
    <w:basedOn w:val="Categoria"/>
    <w:qFormat/>
    <w:rsid w:val="00D03E1C"/>
    <w:rPr>
      <w:caps w:val="0"/>
    </w:rPr>
  </w:style>
  <w:style w:type="paragraph" w:styleId="Sommario1">
    <w:name w:val="toc 1"/>
    <w:basedOn w:val="Normale"/>
    <w:next w:val="Normale"/>
    <w:autoRedefine/>
    <w:uiPriority w:val="39"/>
    <w:unhideWhenUsed/>
    <w:rsid w:val="00AA4669"/>
    <w:pPr>
      <w:tabs>
        <w:tab w:val="left" w:pos="284"/>
        <w:tab w:val="right" w:leader="dot" w:pos="9060"/>
      </w:tabs>
      <w:spacing w:before="240" w:after="120"/>
      <w:ind w:right="397"/>
    </w:pPr>
    <w:rPr>
      <w:b/>
      <w:smallCaps/>
    </w:rPr>
  </w:style>
  <w:style w:type="paragraph" w:styleId="Sommario2">
    <w:name w:val="toc 2"/>
    <w:basedOn w:val="Normale"/>
    <w:next w:val="Normale"/>
    <w:autoRedefine/>
    <w:uiPriority w:val="39"/>
    <w:unhideWhenUsed/>
    <w:rsid w:val="001E1D83"/>
    <w:pPr>
      <w:tabs>
        <w:tab w:val="right" w:leader="dot" w:pos="9060"/>
      </w:tabs>
      <w:spacing w:after="100"/>
      <w:ind w:left="910" w:right="397" w:hanging="910"/>
    </w:pPr>
    <w:rPr>
      <w:sz w:val="20"/>
    </w:rPr>
  </w:style>
  <w:style w:type="character" w:styleId="Collegamentoipertestuale">
    <w:name w:val="Hyperlink"/>
    <w:basedOn w:val="Carpredefinitoparagrafo"/>
    <w:uiPriority w:val="99"/>
    <w:unhideWhenUsed/>
    <w:rsid w:val="00077302"/>
    <w:rPr>
      <w:color w:val="0563C1" w:themeColor="hyperlink"/>
      <w:u w:val="single"/>
    </w:rPr>
  </w:style>
  <w:style w:type="table" w:customStyle="1" w:styleId="Tabellagriglia4-colore11">
    <w:name w:val="Tabella griglia 4 - colore 11"/>
    <w:basedOn w:val="Tabellanormale"/>
    <w:uiPriority w:val="49"/>
    <w:rsid w:val="0042073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5220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4E37B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1">
    <w:name w:val="List Table 3 Accent 1"/>
    <w:basedOn w:val="Tabellanormale"/>
    <w:uiPriority w:val="48"/>
    <w:rsid w:val="00D17EB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D17EB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25C42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76E9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76E9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76E9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5C6DD.85802E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cid:image001.png@01D5C6DD.85802EA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7DF8-460C-4088-A4BD-4828C213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Tommaso Di Nardo</dc:creator>
  <cp:lastModifiedBy>Parracino Mauro</cp:lastModifiedBy>
  <cp:revision>5</cp:revision>
  <cp:lastPrinted>2019-12-20T09:43:00Z</cp:lastPrinted>
  <dcterms:created xsi:type="dcterms:W3CDTF">2020-01-14T08:58:00Z</dcterms:created>
  <dcterms:modified xsi:type="dcterms:W3CDTF">2020-01-14T09:17:00Z</dcterms:modified>
</cp:coreProperties>
</file>