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CF39" w14:textId="77777777" w:rsidR="003605A6" w:rsidRDefault="003605A6" w:rsidP="00A80A1C">
      <w:pPr>
        <w:jc w:val="center"/>
        <w:rPr>
          <w:b/>
          <w:bCs/>
          <w:sz w:val="32"/>
          <w:szCs w:val="32"/>
        </w:rPr>
      </w:pPr>
    </w:p>
    <w:p w14:paraId="6D28E35E" w14:textId="7DC1E9B5" w:rsidR="00195C8E" w:rsidRPr="000956BC" w:rsidRDefault="00C71D99" w:rsidP="00A80A1C">
      <w:pPr>
        <w:jc w:val="center"/>
        <w:rPr>
          <w:b/>
          <w:bCs/>
          <w:sz w:val="32"/>
          <w:szCs w:val="32"/>
        </w:rPr>
      </w:pPr>
      <w:r w:rsidRPr="000956BC">
        <w:rPr>
          <w:b/>
          <w:bCs/>
          <w:sz w:val="32"/>
          <w:szCs w:val="32"/>
        </w:rPr>
        <w:t>Comunicato stampa</w:t>
      </w:r>
    </w:p>
    <w:p w14:paraId="571338DB" w14:textId="006BBCE3" w:rsidR="004F624F" w:rsidRPr="00360FE5" w:rsidRDefault="00360FE5" w:rsidP="00A80A1C">
      <w:pPr>
        <w:jc w:val="center"/>
        <w:rPr>
          <w:b/>
          <w:bCs/>
          <w:sz w:val="28"/>
          <w:szCs w:val="28"/>
        </w:rPr>
      </w:pPr>
      <w:r w:rsidRPr="00360FE5">
        <w:rPr>
          <w:b/>
          <w:bCs/>
          <w:sz w:val="28"/>
          <w:szCs w:val="28"/>
        </w:rPr>
        <w:t>SOSTENIBILITÀ: IMPRESE ANCORA POCO CONSAPEVOLI E POCO MOTIVATE RISPETTO ALLA TEMATICA</w:t>
      </w:r>
    </w:p>
    <w:p w14:paraId="4D5BE4A2" w14:textId="77777777" w:rsidR="00C71D99" w:rsidRPr="000956BC" w:rsidRDefault="00C71D99" w:rsidP="00A80A1C">
      <w:pPr>
        <w:jc w:val="center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sz w:val="28"/>
          <w:szCs w:val="28"/>
          <w:lang w:eastAsia="it-IT"/>
        </w:rPr>
        <w:t>Commercialisti: il 94% dei professionisti ritiene necessaria la formazione per la categoria</w:t>
      </w:r>
    </w:p>
    <w:p w14:paraId="7B826897" w14:textId="4CF0CFAC" w:rsidR="00A578C5" w:rsidRPr="000956BC" w:rsidRDefault="00C71D99" w:rsidP="00A80A1C">
      <w:pPr>
        <w:jc w:val="center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 xml:space="preserve"> </w:t>
      </w:r>
    </w:p>
    <w:p w14:paraId="6C9C5382" w14:textId="1A4D2CEF" w:rsidR="003D493F" w:rsidRPr="000956BC" w:rsidRDefault="00B05845" w:rsidP="007C07A1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 xml:space="preserve">Bologna, </w:t>
      </w:r>
      <w:r w:rsidR="00195C8E"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13</w:t>
      </w: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 xml:space="preserve"> ottobre 2022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C71D99" w:rsidRPr="000956BC">
        <w:rPr>
          <w:rFonts w:ascii="Open Sans" w:eastAsia="Times New Roman" w:hAnsi="Open Sans" w:cs="Open Sans"/>
          <w:color w:val="19191A"/>
          <w:lang w:eastAsia="it-IT"/>
        </w:rPr>
        <w:t>–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3D493F" w:rsidRPr="000956BC">
        <w:rPr>
          <w:rFonts w:ascii="Open Sans" w:eastAsia="Times New Roman" w:hAnsi="Open Sans" w:cs="Open Sans"/>
          <w:color w:val="19191A"/>
          <w:lang w:eastAsia="it-IT"/>
        </w:rPr>
        <w:t xml:space="preserve">In occasione del </w:t>
      </w:r>
      <w:r w:rsidR="003D493F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Convegno Nazionale “Il valore della sostenibilità</w:t>
      </w:r>
      <w:r w:rsidR="003D493F" w:rsidRPr="000956BC">
        <w:rPr>
          <w:rFonts w:ascii="Open Sans" w:eastAsia="Times New Roman" w:hAnsi="Open Sans" w:cs="Open Sans"/>
          <w:color w:val="19191A"/>
          <w:lang w:eastAsia="it-IT"/>
        </w:rPr>
        <w:t xml:space="preserve">” in programma </w:t>
      </w:r>
      <w:r w:rsidR="00B324FA">
        <w:rPr>
          <w:rFonts w:ascii="Open Sans" w:eastAsia="Times New Roman" w:hAnsi="Open Sans" w:cs="Open Sans"/>
          <w:color w:val="19191A"/>
          <w:lang w:eastAsia="it-IT"/>
        </w:rPr>
        <w:t>venerdì 14 e sabato 15</w:t>
      </w:r>
      <w:r w:rsidR="003D493F" w:rsidRPr="000956BC">
        <w:rPr>
          <w:rFonts w:ascii="Open Sans" w:eastAsia="Times New Roman" w:hAnsi="Open Sans" w:cs="Open Sans"/>
          <w:color w:val="19191A"/>
          <w:lang w:eastAsia="it-IT"/>
        </w:rPr>
        <w:t xml:space="preserve"> ottobre 2022 e organizzato dal Consiglio Nazionale dei commercialisti insieme all’Ordine dei Dottori Commercialisti e degli Esperti Contabili di Bologna </w:t>
      </w:r>
      <w:r w:rsidR="003D493F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Nomisma presenta il programma “Play </w:t>
      </w:r>
      <w:proofErr w:type="spellStart"/>
      <w:r w:rsidR="003D493F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Sustainability</w:t>
      </w:r>
      <w:proofErr w:type="spellEnd"/>
      <w:r w:rsidR="003D493F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”</w:t>
      </w:r>
      <w:r w:rsidR="003D493F" w:rsidRPr="000956BC">
        <w:rPr>
          <w:rFonts w:ascii="Open Sans" w:eastAsia="Times New Roman" w:hAnsi="Open Sans" w:cs="Open Sans"/>
          <w:color w:val="19191A"/>
          <w:lang w:eastAsia="it-IT"/>
        </w:rPr>
        <w:t xml:space="preserve">. Nato dalla collaborazione tra l’istituto di ricerca bolognese e </w:t>
      </w:r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 xml:space="preserve">la Fondazione Nazionale di ricerca dei commercialisti, Play </w:t>
      </w:r>
      <w:proofErr w:type="spellStart"/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>Sustainability</w:t>
      </w:r>
      <w:proofErr w:type="spellEnd"/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 xml:space="preserve"> ha lo scopo di </w:t>
      </w:r>
      <w:r w:rsidR="007C07A1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consolidare la cultura della sostenibilità tra i professionisti</w:t>
      </w:r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 xml:space="preserve"> e trasmettere l’urgenza del processo di transizione ecologica, oltr</w:t>
      </w:r>
      <w:r w:rsidR="004F4249" w:rsidRPr="000956BC">
        <w:rPr>
          <w:rFonts w:ascii="Open Sans" w:eastAsia="Times New Roman" w:hAnsi="Open Sans" w:cs="Open Sans"/>
          <w:color w:val="19191A"/>
          <w:lang w:eastAsia="it-IT"/>
        </w:rPr>
        <w:t>e</w:t>
      </w:r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 xml:space="preserve"> a veicolare il valore degli strumenti ESG per valutazioni più efficaci e con minor rischio. Nella sessione plenaria di </w:t>
      </w:r>
      <w:r w:rsidR="00B324FA">
        <w:rPr>
          <w:rFonts w:ascii="Open Sans" w:eastAsia="Times New Roman" w:hAnsi="Open Sans" w:cs="Open Sans"/>
          <w:color w:val="19191A"/>
          <w:lang w:eastAsia="it-IT"/>
        </w:rPr>
        <w:t>venerdì</w:t>
      </w:r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 xml:space="preserve"> 14 Nomisma presenterà </w:t>
      </w:r>
      <w:r w:rsidR="007C07A1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i risultati della prima release dell’Osservatorio annuale</w:t>
      </w:r>
      <w:r w:rsidR="007C07A1" w:rsidRPr="000956BC">
        <w:rPr>
          <w:rFonts w:ascii="Open Sans" w:eastAsia="Times New Roman" w:hAnsi="Open Sans" w:cs="Open Sans"/>
          <w:color w:val="19191A"/>
          <w:lang w:eastAsia="it-IT"/>
        </w:rPr>
        <w:t xml:space="preserve"> che fa luce sulle scelte e gli investimenti suggeriti dai professionisti alle imprese, nel processo di transizione verso la sostenibilità.</w:t>
      </w:r>
    </w:p>
    <w:p w14:paraId="3889C10F" w14:textId="77777777" w:rsidR="005F6431" w:rsidRPr="000956BC" w:rsidRDefault="005F6431" w:rsidP="007C07A1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</w:p>
    <w:p w14:paraId="2D717B84" w14:textId="1C51277D" w:rsidR="007C07A1" w:rsidRPr="000956BC" w:rsidRDefault="00C83305">
      <w:pPr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  <w:t>IL CAMPIONE</w:t>
      </w:r>
    </w:p>
    <w:p w14:paraId="7C8B2859" w14:textId="58570AB3" w:rsidR="004D1716" w:rsidRPr="000956BC" w:rsidRDefault="00C83305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L’indagine 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>-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sottoposta ad un campione di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1.162 professionisti</w:t>
      </w:r>
      <w:r w:rsidR="00C93962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 xml:space="preserve">iscritti all’Albo dei Dottori Commercialisti </w:t>
      </w:r>
      <w:r w:rsidR="002E5BEA" w:rsidRPr="000956BC">
        <w:rPr>
          <w:rFonts w:ascii="Open Sans" w:eastAsia="Times New Roman" w:hAnsi="Open Sans" w:cs="Open Sans"/>
          <w:color w:val="19191A"/>
          <w:lang w:eastAsia="it-IT"/>
        </w:rPr>
        <w:t xml:space="preserve">e degli </w:t>
      </w:r>
      <w:r w:rsidR="000628BC" w:rsidRPr="000956BC">
        <w:rPr>
          <w:rFonts w:ascii="Open Sans" w:eastAsia="Times New Roman" w:hAnsi="Open Sans" w:cs="Open Sans"/>
          <w:color w:val="19191A"/>
          <w:lang w:eastAsia="it-IT"/>
        </w:rPr>
        <w:t>E</w:t>
      </w:r>
      <w:r w:rsidR="002E5BEA" w:rsidRPr="000956BC">
        <w:rPr>
          <w:rFonts w:ascii="Open Sans" w:eastAsia="Times New Roman" w:hAnsi="Open Sans" w:cs="Open Sans"/>
          <w:color w:val="19191A"/>
          <w:lang w:eastAsia="it-IT"/>
        </w:rPr>
        <w:t xml:space="preserve">sperti </w:t>
      </w:r>
      <w:r w:rsidR="000628BC" w:rsidRPr="000956BC">
        <w:rPr>
          <w:rFonts w:ascii="Open Sans" w:eastAsia="Times New Roman" w:hAnsi="Open Sans" w:cs="Open Sans"/>
          <w:color w:val="19191A"/>
          <w:lang w:eastAsia="it-IT"/>
        </w:rPr>
        <w:t>C</w:t>
      </w:r>
      <w:r w:rsidR="002E5BEA" w:rsidRPr="000956BC">
        <w:rPr>
          <w:rFonts w:ascii="Open Sans" w:eastAsia="Times New Roman" w:hAnsi="Open Sans" w:cs="Open Sans"/>
          <w:color w:val="19191A"/>
          <w:lang w:eastAsia="it-IT"/>
        </w:rPr>
        <w:t>ontabili</w:t>
      </w:r>
      <w:r w:rsidR="002E5BEA" w:rsidRPr="000956BC">
        <w:rPr>
          <w:rFonts w:ascii="Open Sans" w:eastAsia="Times New Roman" w:hAnsi="Open Sans" w:cs="Open Sans"/>
          <w:color w:val="FF0000"/>
          <w:lang w:eastAsia="it-IT"/>
        </w:rPr>
        <w:t xml:space="preserve"> 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>e</w:t>
      </w:r>
      <w:r w:rsidR="004D1716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 xml:space="preserve">operanti su tutto il territorio nazionale - 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ha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 xml:space="preserve">come 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 xml:space="preserve">obiettivo fare il punto rispetto al processo di transizione verso la </w:t>
      </w:r>
      <w:r w:rsidR="00E76392" w:rsidRPr="000956BC">
        <w:rPr>
          <w:rFonts w:ascii="Open Sans" w:eastAsia="Times New Roman" w:hAnsi="Open Sans" w:cs="Open Sans"/>
          <w:color w:val="19191A"/>
          <w:lang w:eastAsia="it-IT"/>
        </w:rPr>
        <w:t>s</w:t>
      </w:r>
      <w:r w:rsidR="004D1716" w:rsidRPr="000956BC">
        <w:rPr>
          <w:rFonts w:ascii="Open Sans" w:eastAsia="Times New Roman" w:hAnsi="Open Sans" w:cs="Open Sans"/>
          <w:color w:val="19191A"/>
          <w:lang w:eastAsia="it-IT"/>
        </w:rPr>
        <w:t>ostenibilità delle imprese clienti, monitorandone gli strumenti, le scelte e gli investimenti in ambito ambientale, sociale e di governance.</w:t>
      </w:r>
    </w:p>
    <w:p w14:paraId="4061881E" w14:textId="2B7F3E75" w:rsidR="00ED77C5" w:rsidRPr="000956BC" w:rsidRDefault="00ED77C5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La prima parte dell’indagine ha focalizzato la propria attenzione </w:t>
      </w:r>
      <w:r w:rsidR="00D564C8" w:rsidRPr="000956BC">
        <w:rPr>
          <w:rFonts w:ascii="Open Sans" w:eastAsia="Times New Roman" w:hAnsi="Open Sans" w:cs="Open Sans"/>
          <w:color w:val="19191A"/>
          <w:lang w:eastAsia="it-IT"/>
        </w:rPr>
        <w:t>sugli ambiti consulenziali offerti ai propri clienti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dagli Studi di Commercialisti, al fine di verificare quanto </w:t>
      </w:r>
      <w:r w:rsidR="00D564C8" w:rsidRPr="000956BC">
        <w:rPr>
          <w:rFonts w:ascii="Open Sans" w:eastAsia="Times New Roman" w:hAnsi="Open Sans" w:cs="Open Sans"/>
          <w:color w:val="19191A"/>
          <w:lang w:eastAsia="it-IT"/>
        </w:rPr>
        <w:t>presidiare l’ambito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D564C8" w:rsidRPr="000956BC">
        <w:rPr>
          <w:rFonts w:ascii="Open Sans" w:eastAsia="Times New Roman" w:hAnsi="Open Sans" w:cs="Open Sans"/>
          <w:color w:val="19191A"/>
          <w:lang w:eastAsia="it-IT"/>
        </w:rPr>
        <w:t xml:space="preserve">della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sostenibilità rappresenti un</w:t>
      </w:r>
      <w:r w:rsidR="00D564C8" w:rsidRPr="000956BC">
        <w:rPr>
          <w:rFonts w:ascii="Open Sans" w:eastAsia="Times New Roman" w:hAnsi="Open Sans" w:cs="Open Sans"/>
          <w:color w:val="19191A"/>
          <w:lang w:eastAsia="it-IT"/>
        </w:rPr>
        <w:t xml:space="preserve"> elemento strategico per la categoria.</w:t>
      </w:r>
    </w:p>
    <w:p w14:paraId="1CBBC257" w14:textId="5692B74A" w:rsidR="007F5F5E" w:rsidRPr="000956BC" w:rsidRDefault="00D564C8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Tra i servizi che gli studi dei Commercialisti offrono alle proprie imprese clienti, l</w:t>
      </w:r>
      <w:r w:rsidR="007F5F5E" w:rsidRPr="000956BC">
        <w:rPr>
          <w:rFonts w:ascii="Open Sans" w:eastAsia="Times New Roman" w:hAnsi="Open Sans" w:cs="Open Sans"/>
          <w:color w:val="19191A"/>
          <w:lang w:eastAsia="it-IT"/>
        </w:rPr>
        <w:t xml:space="preserve">a </w:t>
      </w:r>
      <w:r w:rsidR="007F5F5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consulenza strategica</w:t>
      </w:r>
      <w:r w:rsidR="007F5F5E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 xml:space="preserve">e la </w:t>
      </w:r>
      <w:r w:rsidR="0023469F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consulenza finanziaria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 xml:space="preserve"> - nell’alveo de</w:t>
      </w:r>
      <w:r w:rsidR="004E6F13" w:rsidRPr="000956BC">
        <w:rPr>
          <w:rFonts w:ascii="Open Sans" w:eastAsia="Times New Roman" w:hAnsi="Open Sans" w:cs="Open Sans"/>
          <w:color w:val="19191A"/>
          <w:lang w:eastAsia="it-IT"/>
        </w:rPr>
        <w:t>lle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 xml:space="preserve"> quali rientrano le tematiche della sostenibilità - sono</w:t>
      </w:r>
      <w:r w:rsidR="007F5F5E" w:rsidRPr="000956BC">
        <w:rPr>
          <w:rFonts w:ascii="Open Sans" w:eastAsia="Times New Roman" w:hAnsi="Open Sans" w:cs="Open Sans"/>
          <w:color w:val="19191A"/>
          <w:lang w:eastAsia="it-IT"/>
        </w:rPr>
        <w:t xml:space="preserve"> servizi 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 xml:space="preserve">non ancora pienamente diffusi, essendo </w:t>
      </w:r>
      <w:r w:rsidR="007F5F5E" w:rsidRPr="000956BC">
        <w:rPr>
          <w:rFonts w:ascii="Open Sans" w:eastAsia="Times New Roman" w:hAnsi="Open Sans" w:cs="Open Sans"/>
          <w:color w:val="19191A"/>
          <w:lang w:eastAsia="it-IT"/>
        </w:rPr>
        <w:t>offert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>i</w:t>
      </w:r>
      <w:r w:rsidR="007F5F5E" w:rsidRPr="000956BC">
        <w:rPr>
          <w:rFonts w:ascii="Open Sans" w:eastAsia="Times New Roman" w:hAnsi="Open Sans" w:cs="Open Sans"/>
          <w:color w:val="19191A"/>
          <w:lang w:eastAsia="it-IT"/>
        </w:rPr>
        <w:t xml:space="preserve"> alle imprese clienti 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>rispettivamente dal 33% e dal 24% degli studi</w:t>
      </w:r>
      <w:r w:rsidR="00195C8E" w:rsidRPr="000956BC">
        <w:rPr>
          <w:rFonts w:ascii="Open Sans" w:eastAsia="Times New Roman" w:hAnsi="Open Sans" w:cs="Open Sans"/>
          <w:color w:val="19191A"/>
          <w:lang w:eastAsia="it-IT"/>
        </w:rPr>
        <w:t>. A questo proposito si evidenziano</w:t>
      </w:r>
      <w:r w:rsidR="007F5F5E" w:rsidRPr="000956BC">
        <w:rPr>
          <w:rFonts w:ascii="Open Sans" w:eastAsia="Times New Roman" w:hAnsi="Open Sans" w:cs="Open Sans"/>
          <w:color w:val="19191A"/>
          <w:lang w:eastAsia="it-IT"/>
        </w:rPr>
        <w:t xml:space="preserve"> significative differenze per classe di età dei</w:t>
      </w:r>
      <w:r w:rsidR="003736F6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B3335" w:rsidRPr="000956BC">
        <w:rPr>
          <w:rFonts w:ascii="Open Sans" w:eastAsia="Times New Roman" w:hAnsi="Open Sans" w:cs="Open Sans"/>
          <w:color w:val="19191A"/>
          <w:lang w:eastAsia="it-IT"/>
        </w:rPr>
        <w:t xml:space="preserve">Commercialisti, con gli intervistati under 40 più orientati a offrire </w:t>
      </w:r>
      <w:r w:rsidR="00195C8E" w:rsidRPr="000956BC">
        <w:rPr>
          <w:rFonts w:ascii="Open Sans" w:eastAsia="Times New Roman" w:hAnsi="Open Sans" w:cs="Open Sans"/>
          <w:color w:val="19191A"/>
          <w:lang w:eastAsia="it-IT"/>
        </w:rPr>
        <w:t>questo tipo di servizi</w:t>
      </w:r>
      <w:r w:rsidR="00BB3335" w:rsidRPr="000956BC">
        <w:rPr>
          <w:rFonts w:ascii="Open Sans" w:eastAsia="Times New Roman" w:hAnsi="Open Sans" w:cs="Open Sans"/>
          <w:color w:val="19191A"/>
          <w:lang w:eastAsia="it-IT"/>
        </w:rPr>
        <w:t xml:space="preserve"> alle proprie imprese clienti.</w:t>
      </w:r>
    </w:p>
    <w:p w14:paraId="4120E6E3" w14:textId="77777777" w:rsidR="005F6431" w:rsidRPr="000956BC" w:rsidRDefault="005F6431" w:rsidP="00E5014C">
      <w:pPr>
        <w:jc w:val="both"/>
        <w:rPr>
          <w:rFonts w:ascii="Open Sans" w:eastAsia="Times New Roman" w:hAnsi="Open Sans" w:cs="Open Sans"/>
          <w:b/>
          <w:bCs/>
          <w:color w:val="19191A"/>
          <w:lang w:eastAsia="it-IT"/>
        </w:rPr>
      </w:pPr>
    </w:p>
    <w:p w14:paraId="178B9283" w14:textId="17C0238F" w:rsidR="00BB3335" w:rsidRPr="000956BC" w:rsidRDefault="0023469F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E tra gli studi che offrono consulenza strategica, solo il</w:t>
      </w:r>
      <w:r w:rsidR="00BB333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28% indirizza la propria consulenza anche su </w:t>
      </w:r>
      <w:r w:rsidR="00B0584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tematiche </w:t>
      </w:r>
      <w:r w:rsidR="00BB333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legate alla</w:t>
      </w:r>
      <w:r w:rsidR="00B0584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sostenibilità ambientale</w:t>
      </w:r>
      <w:r w:rsidR="00B05845" w:rsidRPr="000956BC">
        <w:rPr>
          <w:rFonts w:ascii="Open Sans" w:eastAsia="Times New Roman" w:hAnsi="Open Sans" w:cs="Open Sans"/>
          <w:color w:val="19191A"/>
          <w:lang w:eastAsia="it-IT"/>
        </w:rPr>
        <w:t xml:space="preserve">, </w:t>
      </w:r>
      <w:r w:rsidR="00B0584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sociale e di governance</w:t>
      </w:r>
      <w:r w:rsidR="00E76392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(9% sul totale degli Studi di Commercialisti)</w:t>
      </w:r>
      <w:r w:rsidR="00B0584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.</w:t>
      </w:r>
      <w:r w:rsidR="00B05845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</w:p>
    <w:p w14:paraId="371B384D" w14:textId="26466650" w:rsidR="0023469F" w:rsidRPr="000956BC" w:rsidRDefault="00D9393D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Sebbene il 44% degli intervistati</w:t>
      </w:r>
      <w:r w:rsidR="0023469F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05845" w:rsidRPr="000956BC">
        <w:rPr>
          <w:rFonts w:ascii="Open Sans" w:eastAsia="Times New Roman" w:hAnsi="Open Sans" w:cs="Open Sans"/>
          <w:color w:val="19191A"/>
          <w:lang w:eastAsia="it-IT"/>
        </w:rPr>
        <w:t>rit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enga</w:t>
      </w:r>
      <w:r w:rsidR="00B05845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B3335" w:rsidRPr="000956BC">
        <w:rPr>
          <w:rFonts w:ascii="Open Sans" w:eastAsia="Times New Roman" w:hAnsi="Open Sans" w:cs="Open Sans"/>
          <w:color w:val="19191A"/>
          <w:lang w:eastAsia="it-IT"/>
        </w:rPr>
        <w:t>che</w:t>
      </w:r>
      <w:r w:rsidR="00E76392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B3335" w:rsidRPr="000956BC">
        <w:rPr>
          <w:rFonts w:ascii="Open Sans" w:eastAsia="Times New Roman" w:hAnsi="Open Sans" w:cs="Open Sans"/>
          <w:color w:val="19191A"/>
          <w:lang w:eastAsia="it-IT"/>
        </w:rPr>
        <w:t xml:space="preserve">presidiare l’ambito della sostenibilità ambientale, sociale e di governance rappresenti un elemento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chiave</w:t>
      </w:r>
      <w:r w:rsidR="00BB3335" w:rsidRPr="000956BC">
        <w:rPr>
          <w:rFonts w:ascii="Open Sans" w:eastAsia="Times New Roman" w:hAnsi="Open Sans" w:cs="Open Sans"/>
          <w:color w:val="19191A"/>
          <w:lang w:eastAsia="it-IT"/>
        </w:rPr>
        <w:t xml:space="preserve"> per il proprio studio e per la professione del Commercialista in generale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, la quasi totalità (94%) dei Commercialisti dichiara di non essere sufficiente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mente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preparat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a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per offrire consulenza in tale direzione e di necessitare, conseguentemente, di specifica formazione. </w:t>
      </w:r>
    </w:p>
    <w:p w14:paraId="37A2F694" w14:textId="03FF9052" w:rsidR="00B31F2D" w:rsidRPr="000956BC" w:rsidRDefault="00B31F2D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noProof/>
          <w:color w:val="19191A"/>
          <w:lang w:eastAsia="it-IT"/>
        </w:rPr>
        <w:drawing>
          <wp:inline distT="0" distB="0" distL="0" distR="0" wp14:anchorId="7E504BD6" wp14:editId="29D02D18">
            <wp:extent cx="6120130" cy="340233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A626" w14:textId="4680B5A3" w:rsidR="00D9393D" w:rsidRPr="000956BC" w:rsidRDefault="00442FE9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Tra le competenze da sviluppare per offrire consulenza in tema di sostenibilità alle aziende vi è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,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in primis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,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la necessità di accompagnarle in un percorso di consapevolezza (47%),</w:t>
      </w:r>
      <w:r w:rsidR="00D9393D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fissare obiettivi e percorsi di sviluppo che creino valore nel lungo termine (44%),</w:t>
      </w:r>
      <w:r w:rsidR="00C93962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individuare strumenti di misurazione delle ricadute amb</w:t>
      </w:r>
      <w:r w:rsidR="00630B81" w:rsidRPr="000956BC">
        <w:rPr>
          <w:rFonts w:ascii="Open Sans" w:eastAsia="Times New Roman" w:hAnsi="Open Sans" w:cs="Open Sans"/>
          <w:color w:val="19191A"/>
          <w:lang w:eastAsia="it-IT"/>
        </w:rPr>
        <w:t xml:space="preserve">ientali e sociali dell’agire di impresa (33%) </w:t>
      </w:r>
      <w:r w:rsidR="00C93962" w:rsidRPr="000956BC">
        <w:rPr>
          <w:rFonts w:ascii="Open Sans" w:eastAsia="Times New Roman" w:hAnsi="Open Sans" w:cs="Open Sans"/>
          <w:color w:val="19191A"/>
          <w:lang w:eastAsia="it-IT"/>
        </w:rPr>
        <w:t xml:space="preserve">e </w:t>
      </w:r>
      <w:r w:rsidR="00630B81" w:rsidRPr="000956BC">
        <w:rPr>
          <w:rFonts w:ascii="Open Sans" w:eastAsia="Times New Roman" w:hAnsi="Open Sans" w:cs="Open Sans"/>
          <w:color w:val="19191A"/>
          <w:lang w:eastAsia="it-IT"/>
        </w:rPr>
        <w:t>rendicontare gli effetti sociali e ambientali degli investimenti in sostenibilità (31%).</w:t>
      </w:r>
    </w:p>
    <w:p w14:paraId="21889D06" w14:textId="77777777" w:rsidR="00821FA5" w:rsidRPr="000956BC" w:rsidRDefault="00821FA5" w:rsidP="00E5014C">
      <w:pPr>
        <w:jc w:val="both"/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</w:pPr>
    </w:p>
    <w:p w14:paraId="73A91E6C" w14:textId="00D25EB9" w:rsidR="00E95BFF" w:rsidRPr="000956BC" w:rsidRDefault="000D450B" w:rsidP="00E5014C">
      <w:pPr>
        <w:jc w:val="both"/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  <w:t>SOSTENIBILIT</w:t>
      </w:r>
      <w:r w:rsidR="00D9393D" w:rsidRPr="000956BC"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  <w:t>À</w:t>
      </w:r>
      <w:r w:rsidRPr="000956BC"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  <w:t>: L’IDENTIKIT DEL COMMERCIALISTA SENTINELLA</w:t>
      </w:r>
      <w:r w:rsidR="00B05845" w:rsidRPr="000956BC"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  <w:t xml:space="preserve"> </w:t>
      </w:r>
    </w:p>
    <w:p w14:paraId="2BCF1B30" w14:textId="77777777" w:rsidR="00387505" w:rsidRPr="000956BC" w:rsidRDefault="000D450B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Ad essere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particolarmente sensibil</w:t>
      </w:r>
      <w:r w:rsidR="00B72EC8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i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a</w:t>
      </w:r>
      <w:r w:rsidR="00D9393D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lle tematiche inerenti alla sostenibilità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sono </w:t>
      </w:r>
      <w:r w:rsidR="00D9393D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soprattutto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i giovani </w:t>
      </w:r>
      <w:r w:rsidR="00EC7693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Commercialisti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sotto i 40 anni</w:t>
      </w:r>
      <w:r w:rsidR="00BB333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,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che </w:t>
      </w:r>
      <w:r w:rsidR="00EC7693" w:rsidRPr="000956BC">
        <w:rPr>
          <w:rFonts w:ascii="Open Sans" w:eastAsia="Times New Roman" w:hAnsi="Open Sans" w:cs="Open Sans"/>
          <w:color w:val="19191A"/>
          <w:lang w:eastAsia="it-IT"/>
        </w:rPr>
        <w:t>esercitano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EC7693" w:rsidRPr="000956BC">
        <w:rPr>
          <w:rFonts w:ascii="Open Sans" w:eastAsia="Times New Roman" w:hAnsi="Open Sans" w:cs="Open Sans"/>
          <w:color w:val="19191A"/>
          <w:lang w:eastAsia="it-IT"/>
        </w:rPr>
        <w:t>la professione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EC7693" w:rsidRPr="000956BC">
        <w:rPr>
          <w:rFonts w:ascii="Open Sans" w:eastAsia="Times New Roman" w:hAnsi="Open Sans" w:cs="Open Sans"/>
          <w:color w:val="19191A"/>
          <w:lang w:eastAsia="it-IT"/>
        </w:rPr>
        <w:t xml:space="preserve">in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studi strutturati </w:t>
      </w:r>
      <w:r w:rsidR="00EC7693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(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con </w:t>
      </w:r>
      <w:r w:rsidR="00EC7693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almeno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6 addetti</w:t>
      </w:r>
      <w:r w:rsidR="00EC7693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), le cui imprese clienti appartengono prevalentemente al comparto industriale</w:t>
      </w:r>
      <w:r w:rsidR="00D9393D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e</w:t>
      </w:r>
      <w:r w:rsidR="00EC7693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già attive sul tema della sostenibilità.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I </w:t>
      </w:r>
      <w:r w:rsidR="00C93962" w:rsidRPr="000956BC">
        <w:rPr>
          <w:rFonts w:ascii="Open Sans" w:eastAsia="Times New Roman" w:hAnsi="Open Sans" w:cs="Open Sans"/>
          <w:color w:val="19191A"/>
          <w:lang w:eastAsia="it-IT"/>
        </w:rPr>
        <w:t>“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commercialisti sentinella</w:t>
      </w:r>
      <w:r w:rsidR="00C93962" w:rsidRPr="000956BC">
        <w:rPr>
          <w:rFonts w:ascii="Open Sans" w:eastAsia="Times New Roman" w:hAnsi="Open Sans" w:cs="Open Sans"/>
          <w:color w:val="19191A"/>
          <w:lang w:eastAsia="it-IT"/>
        </w:rPr>
        <w:t>”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ritengono che </w:t>
      </w:r>
      <w:r w:rsidR="00EC7693" w:rsidRPr="000956BC">
        <w:rPr>
          <w:rFonts w:ascii="Open Sans" w:eastAsia="Times New Roman" w:hAnsi="Open Sans" w:cs="Open Sans"/>
          <w:color w:val="19191A"/>
          <w:lang w:eastAsia="it-IT"/>
        </w:rPr>
        <w:t xml:space="preserve">nei prossimi 3/5 anni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ambiente, governance e lavoratori </w:t>
      </w:r>
      <w:r w:rsidR="00EC7693" w:rsidRPr="000956BC">
        <w:rPr>
          <w:rFonts w:ascii="Open Sans" w:eastAsia="Times New Roman" w:hAnsi="Open Sans" w:cs="Open Sans"/>
          <w:color w:val="19191A"/>
          <w:lang w:eastAsia="it-IT"/>
        </w:rPr>
        <w:t>s</w:t>
      </w:r>
      <w:r w:rsidR="00D9393D" w:rsidRPr="000956BC">
        <w:rPr>
          <w:rFonts w:ascii="Open Sans" w:eastAsia="Times New Roman" w:hAnsi="Open Sans" w:cs="Open Sans"/>
          <w:color w:val="19191A"/>
          <w:lang w:eastAsia="it-IT"/>
        </w:rPr>
        <w:t>iano</w:t>
      </w:r>
      <w:r w:rsidR="00EC7693" w:rsidRPr="000956BC">
        <w:rPr>
          <w:rFonts w:ascii="Open Sans" w:eastAsia="Times New Roman" w:hAnsi="Open Sans" w:cs="Open Sans"/>
          <w:color w:val="19191A"/>
          <w:lang w:eastAsia="it-IT"/>
        </w:rPr>
        <w:t xml:space="preserve"> gli aspetti su cui </w:t>
      </w:r>
    </w:p>
    <w:p w14:paraId="5AF759B3" w14:textId="77777777" w:rsidR="00387505" w:rsidRPr="000956BC" w:rsidRDefault="00387505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</w:p>
    <w:p w14:paraId="5BFD4960" w14:textId="4352CFB6" w:rsidR="00EC7693" w:rsidRPr="000956BC" w:rsidRDefault="00EC7693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le imprese dovranno investire maggiormente in materia di sostenibilità e che le tematiche di maggiore interesse </w:t>
      </w:r>
      <w:r w:rsidR="00D9393D" w:rsidRPr="000956BC">
        <w:rPr>
          <w:rFonts w:ascii="Open Sans" w:eastAsia="Times New Roman" w:hAnsi="Open Sans" w:cs="Open Sans"/>
          <w:color w:val="19191A"/>
          <w:lang w:eastAsia="it-IT"/>
        </w:rPr>
        <w:t xml:space="preserve">richieste </w:t>
      </w:r>
      <w:r w:rsidR="00D1243A" w:rsidRPr="000956BC">
        <w:rPr>
          <w:rFonts w:ascii="Open Sans" w:eastAsia="Times New Roman" w:hAnsi="Open Sans" w:cs="Open Sans"/>
          <w:color w:val="19191A"/>
          <w:lang w:eastAsia="it-IT"/>
        </w:rPr>
        <w:t xml:space="preserve">dalle imprese </w:t>
      </w:r>
      <w:r w:rsidR="00D9393D" w:rsidRPr="000956BC">
        <w:rPr>
          <w:rFonts w:ascii="Open Sans" w:eastAsia="Times New Roman" w:hAnsi="Open Sans" w:cs="Open Sans"/>
          <w:color w:val="19191A"/>
          <w:lang w:eastAsia="it-IT"/>
        </w:rPr>
        <w:t>agli</w:t>
      </w:r>
      <w:r w:rsidR="00D1243A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D9393D" w:rsidRPr="000956BC">
        <w:rPr>
          <w:rFonts w:ascii="Open Sans" w:eastAsia="Times New Roman" w:hAnsi="Open Sans" w:cs="Open Sans"/>
          <w:color w:val="19191A"/>
          <w:lang w:eastAsia="it-IT"/>
        </w:rPr>
        <w:t>studi di Commercialisti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saranno principalmente</w:t>
      </w:r>
      <w:r w:rsidR="005876A5" w:rsidRPr="000956BC">
        <w:rPr>
          <w:rFonts w:ascii="Open Sans" w:eastAsia="Times New Roman" w:hAnsi="Open Sans" w:cs="Open Sans"/>
          <w:color w:val="19191A"/>
          <w:lang w:eastAsia="it-IT"/>
        </w:rPr>
        <w:t xml:space="preserve"> legat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e</w:t>
      </w:r>
      <w:r w:rsidR="005876A5" w:rsidRPr="000956BC">
        <w:rPr>
          <w:rFonts w:ascii="Open Sans" w:eastAsia="Times New Roman" w:hAnsi="Open Sans" w:cs="Open Sans"/>
          <w:color w:val="19191A"/>
          <w:lang w:eastAsia="it-IT"/>
        </w:rPr>
        <w:t xml:space="preserve"> alla</w:t>
      </w:r>
      <w:r w:rsidR="000D450B" w:rsidRPr="000956BC">
        <w:rPr>
          <w:rFonts w:ascii="Open Sans" w:eastAsia="Times New Roman" w:hAnsi="Open Sans" w:cs="Open Sans"/>
          <w:color w:val="19191A"/>
          <w:lang w:eastAsia="it-IT"/>
        </w:rPr>
        <w:t xml:space="preserve"> consulenza strategica, organizzativa e</w:t>
      </w:r>
      <w:r w:rsidR="005876A5" w:rsidRPr="000956BC">
        <w:rPr>
          <w:rFonts w:ascii="Open Sans" w:eastAsia="Times New Roman" w:hAnsi="Open Sans" w:cs="Open Sans"/>
          <w:color w:val="19191A"/>
          <w:lang w:eastAsia="it-IT"/>
        </w:rPr>
        <w:t xml:space="preserve"> al</w:t>
      </w:r>
      <w:r w:rsidR="000D450B" w:rsidRPr="000956BC">
        <w:rPr>
          <w:rFonts w:ascii="Open Sans" w:eastAsia="Times New Roman" w:hAnsi="Open Sans" w:cs="Open Sans"/>
          <w:color w:val="19191A"/>
          <w:lang w:eastAsia="it-IT"/>
        </w:rPr>
        <w:t xml:space="preserve"> controllo.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 </w:t>
      </w:r>
    </w:p>
    <w:p w14:paraId="6BD85D77" w14:textId="77777777" w:rsidR="00EC4899" w:rsidRPr="000956BC" w:rsidRDefault="00EC4899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</w:p>
    <w:p w14:paraId="1BFE0ADD" w14:textId="6C9BCC95" w:rsidR="00630B81" w:rsidRPr="000956BC" w:rsidRDefault="00630B81" w:rsidP="00E5014C">
      <w:pPr>
        <w:jc w:val="both"/>
        <w:rPr>
          <w:rFonts w:ascii="Open Sans" w:eastAsia="Times New Roman" w:hAnsi="Open Sans" w:cs="Open Sans"/>
          <w:b/>
          <w:b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ORIENTARSI ALLA SOSTENIBILIT</w:t>
      </w:r>
      <w:r w:rsidR="00D9393D" w:rsidRPr="000956BC">
        <w:rPr>
          <w:rFonts w:ascii="Open Sans" w:eastAsia="Times New Roman" w:hAnsi="Open Sans" w:cs="Open Sans"/>
          <w:b/>
          <w:bCs/>
          <w:color w:val="19191A"/>
          <w:sz w:val="24"/>
          <w:szCs w:val="24"/>
          <w:lang w:eastAsia="it-IT"/>
        </w:rPr>
        <w:t>À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: LE IMPRESE</w:t>
      </w:r>
    </w:p>
    <w:p w14:paraId="2CD5F693" w14:textId="49486E08" w:rsidR="00D1243A" w:rsidRPr="000956BC" w:rsidRDefault="005F7924" w:rsidP="00E5014C">
      <w:pPr>
        <w:jc w:val="both"/>
        <w:rPr>
          <w:rFonts w:ascii="Open Sans" w:eastAsia="Times New Roman" w:hAnsi="Open Sans" w:cs="Open Sans"/>
          <w:b/>
          <w:b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Secondo i professionisti</w:t>
      </w:r>
      <w:r w:rsidR="00EC4899" w:rsidRPr="000956BC">
        <w:rPr>
          <w:rFonts w:ascii="Open Sans" w:eastAsia="Times New Roman" w:hAnsi="Open Sans" w:cs="Open Sans"/>
          <w:color w:val="19191A"/>
          <w:lang w:eastAsia="it-IT"/>
        </w:rPr>
        <w:t xml:space="preserve"> intervistati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le imprese </w:t>
      </w:r>
      <w:r w:rsidR="00EC4899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sono ancora</w:t>
      </w:r>
      <w:r w:rsidR="00D1243A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lontane dalla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consapevol</w:t>
      </w:r>
      <w:r w:rsidR="00D1243A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ezza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</w:t>
      </w:r>
      <w:r w:rsidR="00D1243A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dell’importanza e della strategicità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dei temi legati alla sostenibilità: soltanto il 9% appare motivato </w:t>
      </w:r>
      <w:proofErr w:type="gramStart"/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ad</w:t>
      </w:r>
      <w:proofErr w:type="gramEnd"/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adottare azioni e strumenti per </w:t>
      </w:r>
      <w:r w:rsidR="005876A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implementarla in azienda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. </w:t>
      </w:r>
    </w:p>
    <w:p w14:paraId="7AB206A3" w14:textId="10F132F9" w:rsidR="00E56D63" w:rsidRPr="000956BC" w:rsidRDefault="00E56D63" w:rsidP="00E5014C">
      <w:pPr>
        <w:jc w:val="both"/>
        <w:rPr>
          <w:rFonts w:ascii="Open Sans" w:eastAsia="Times New Roman" w:hAnsi="Open Sans" w:cs="Open Sans"/>
          <w:b/>
          <w:b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noProof/>
          <w:color w:val="19191A"/>
          <w:lang w:eastAsia="it-IT"/>
        </w:rPr>
        <w:drawing>
          <wp:inline distT="0" distB="0" distL="0" distR="0" wp14:anchorId="103D325B" wp14:editId="24339A97">
            <wp:extent cx="6120130" cy="3465830"/>
            <wp:effectExtent l="0" t="0" r="0" b="127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75EC" w14:textId="12B77C1A" w:rsidR="008804DE" w:rsidRPr="000956BC" w:rsidRDefault="00D1243A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Per le imprese, l’ambito </w:t>
      </w:r>
      <w:r w:rsidR="008804D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prioritario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di intervento</w:t>
      </w:r>
      <w:r w:rsidR="008804D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sui temi di sostenibilità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è quello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sociale</w:t>
      </w:r>
      <w:r w:rsidR="008804DE" w:rsidRPr="000956BC">
        <w:rPr>
          <w:rFonts w:ascii="Open Sans" w:eastAsia="Times New Roman" w:hAnsi="Open Sans" w:cs="Open Sans"/>
          <w:color w:val="19191A"/>
          <w:lang w:eastAsia="it-IT"/>
        </w:rPr>
        <w:t xml:space="preserve">: il 49% ritiene infatti strategico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intraprendere azioni volte ad accrescere</w:t>
      </w:r>
      <w:r w:rsidR="005F7924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i</w:t>
      </w:r>
      <w:r w:rsidR="005F7924" w:rsidRPr="000956BC">
        <w:rPr>
          <w:rFonts w:ascii="Open Sans" w:eastAsia="Times New Roman" w:hAnsi="Open Sans" w:cs="Open Sans"/>
          <w:color w:val="19191A"/>
          <w:lang w:eastAsia="it-IT"/>
        </w:rPr>
        <w:t xml:space="preserve">l benessere dei dipendenti e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a migliorare la</w:t>
      </w:r>
      <w:r w:rsidR="005F7924" w:rsidRPr="000956BC">
        <w:rPr>
          <w:rFonts w:ascii="Open Sans" w:eastAsia="Times New Roman" w:hAnsi="Open Sans" w:cs="Open Sans"/>
          <w:color w:val="19191A"/>
          <w:lang w:eastAsia="it-IT"/>
        </w:rPr>
        <w:t xml:space="preserve"> sicurezza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in ambiente lavorativo</w:t>
      </w:r>
      <w:r w:rsidR="008804DE" w:rsidRPr="000956BC">
        <w:rPr>
          <w:rFonts w:ascii="Open Sans" w:eastAsia="Times New Roman" w:hAnsi="Open Sans" w:cs="Open Sans"/>
          <w:color w:val="19191A"/>
          <w:lang w:eastAsia="it-IT"/>
        </w:rPr>
        <w:t xml:space="preserve">. Rivestono una importanza secondaria sostenibilità di governance (etica, privacy, parità di genere…) e ambientale, sulla rilevanza delle quale converge, rispettivamente, il 39% e il 34% degli intervistati. </w:t>
      </w:r>
    </w:p>
    <w:p w14:paraId="1AC5B966" w14:textId="35DDBFA2" w:rsidR="005B298E" w:rsidRPr="000956BC" w:rsidRDefault="003B47E8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Ma a quale valore associano la sostenibilità le aziende? Secondo i Commercialisti la maggioranza delle imprese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ritiene l’approccio alla sostenibilità una responsabilità nei confronti della collettività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e delle generazioni future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, un dovere etico e morale, sebbene 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>si evidenzi una quota non minoritaria di imprese che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l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>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>ritiene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>principalmente un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fattore reputazionale, utile ad accrescere la propria brand </w:t>
      </w:r>
      <w:proofErr w:type="spellStart"/>
      <w:r w:rsidRPr="000956BC">
        <w:rPr>
          <w:rFonts w:ascii="Open Sans" w:eastAsia="Times New Roman" w:hAnsi="Open Sans" w:cs="Open Sans"/>
          <w:color w:val="19191A"/>
          <w:lang w:eastAsia="it-IT"/>
        </w:rPr>
        <w:t>reputation</w:t>
      </w:r>
      <w:proofErr w:type="spellEnd"/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e chi lo considera un 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 xml:space="preserve">mero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adempiment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>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. </w:t>
      </w:r>
    </w:p>
    <w:p w14:paraId="69A76FC1" w14:textId="77777777" w:rsidR="005F6431" w:rsidRPr="000956BC" w:rsidRDefault="005F6431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</w:p>
    <w:p w14:paraId="1B4E95F1" w14:textId="2D0C3A9C" w:rsidR="00B93D5A" w:rsidRPr="000956BC" w:rsidRDefault="007F13FA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Ad oggi</w:t>
      </w:r>
      <w:r w:rsidR="004C3104" w:rsidRPr="000956BC">
        <w:rPr>
          <w:rFonts w:ascii="Open Sans" w:eastAsia="Times New Roman" w:hAnsi="Open Sans" w:cs="Open Sans"/>
          <w:color w:val="19191A"/>
          <w:lang w:eastAsia="it-IT"/>
        </w:rPr>
        <w:t>,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il 70% dei commercialisti intervistat</w:t>
      </w:r>
      <w:r w:rsidR="005876A5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i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</w:t>
      </w:r>
      <w:r w:rsidR="005B298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dichiara di avere almeno 1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impres</w:t>
      </w:r>
      <w:r w:rsidR="005B298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a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client</w:t>
      </w:r>
      <w:r w:rsidR="005B298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e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che si </w:t>
      </w:r>
      <w:r w:rsidR="005B298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è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approcciat</w:t>
      </w:r>
      <w:r w:rsidR="00B72EC8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a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a</w:t>
      </w:r>
      <w:r w:rsidR="005B298E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tematiche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sostenibili</w:t>
      </w:r>
      <w:r w:rsidR="009F5648" w:rsidRPr="000956BC">
        <w:rPr>
          <w:rFonts w:ascii="Open Sans" w:eastAsia="Times New Roman" w:hAnsi="Open Sans" w:cs="Open Sans"/>
          <w:color w:val="19191A"/>
          <w:lang w:eastAsia="it-IT"/>
        </w:rPr>
        <w:t xml:space="preserve">. </w:t>
      </w:r>
      <w:r w:rsidR="00EC4899" w:rsidRPr="000956BC">
        <w:rPr>
          <w:rFonts w:ascii="Open Sans" w:eastAsia="Times New Roman" w:hAnsi="Open Sans" w:cs="Open Sans"/>
          <w:color w:val="19191A"/>
          <w:lang w:eastAsia="it-IT"/>
        </w:rPr>
        <w:t xml:space="preserve">Si tratta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in particolare</w:t>
      </w:r>
      <w:r w:rsidR="00EC4899" w:rsidRPr="000956BC">
        <w:rPr>
          <w:rFonts w:ascii="Open Sans" w:eastAsia="Times New Roman" w:hAnsi="Open Sans" w:cs="Open Sans"/>
          <w:color w:val="19191A"/>
          <w:lang w:eastAsia="it-IT"/>
        </w:rPr>
        <w:t xml:space="preserve"> di imprese di medie e grandi dimensioni, 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 xml:space="preserve">localizzate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prioritariamente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 xml:space="preserve"> nel Nord Est e nel Nord Ovest del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P</w:t>
      </w:r>
      <w:r w:rsidR="005B298E" w:rsidRPr="000956BC">
        <w:rPr>
          <w:rFonts w:ascii="Open Sans" w:eastAsia="Times New Roman" w:hAnsi="Open Sans" w:cs="Open Sans"/>
          <w:color w:val="19191A"/>
          <w:lang w:eastAsia="it-IT"/>
        </w:rPr>
        <w:t xml:space="preserve">aese, </w:t>
      </w:r>
      <w:r w:rsidR="00EC4899" w:rsidRPr="000956BC">
        <w:rPr>
          <w:rFonts w:ascii="Open Sans" w:eastAsia="Times New Roman" w:hAnsi="Open Sans" w:cs="Open Sans"/>
          <w:color w:val="19191A"/>
          <w:lang w:eastAsia="it-IT"/>
        </w:rPr>
        <w:t xml:space="preserve">appartenenti 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 xml:space="preserve">soprattutto </w:t>
      </w:r>
      <w:r w:rsidR="00EC4899" w:rsidRPr="000956BC">
        <w:rPr>
          <w:rFonts w:ascii="Open Sans" w:eastAsia="Times New Roman" w:hAnsi="Open Sans" w:cs="Open Sans"/>
          <w:color w:val="19191A"/>
          <w:lang w:eastAsia="it-IT"/>
        </w:rPr>
        <w:t>al comp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>a</w:t>
      </w:r>
      <w:r w:rsidR="00EC4899" w:rsidRPr="000956BC">
        <w:rPr>
          <w:rFonts w:ascii="Open Sans" w:eastAsia="Times New Roman" w:hAnsi="Open Sans" w:cs="Open Sans"/>
          <w:color w:val="19191A"/>
          <w:lang w:eastAsia="it-IT"/>
        </w:rPr>
        <w:t>rto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 xml:space="preserve"> industriale</w:t>
      </w:r>
      <w:r w:rsidR="009F5648" w:rsidRPr="000956BC">
        <w:rPr>
          <w:rFonts w:ascii="Open Sans" w:eastAsia="Times New Roman" w:hAnsi="Open Sans" w:cs="Open Sans"/>
          <w:color w:val="19191A"/>
          <w:lang w:eastAsia="it-IT"/>
        </w:rPr>
        <w:t xml:space="preserve">. </w:t>
      </w:r>
    </w:p>
    <w:p w14:paraId="13655A37" w14:textId="78A35DB9" w:rsidR="00B93D5A" w:rsidRPr="000956BC" w:rsidRDefault="009F5648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Attualmente </w:t>
      </w:r>
      <w:r w:rsidR="00ED77C5" w:rsidRPr="000956BC">
        <w:rPr>
          <w:rFonts w:ascii="Open Sans" w:eastAsia="Times New Roman" w:hAnsi="Open Sans" w:cs="Open Sans"/>
          <w:color w:val="19191A"/>
          <w:lang w:eastAsia="it-IT"/>
        </w:rPr>
        <w:t>la metà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delle </w:t>
      </w:r>
      <w:r w:rsidR="005876A5" w:rsidRPr="000956BC">
        <w:rPr>
          <w:rFonts w:ascii="Open Sans" w:eastAsia="Times New Roman" w:hAnsi="Open Sans" w:cs="Open Sans"/>
          <w:color w:val="19191A"/>
          <w:lang w:eastAsia="it-IT"/>
        </w:rPr>
        <w:t>aziende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(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>50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%)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 xml:space="preserve"> impegnate nel processo verso la sostenibilità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sta procedendo in modo autonomo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–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non accompagnata da soggetti terzi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9D61E9" w:rsidRPr="000956BC">
        <w:rPr>
          <w:rFonts w:ascii="Open Sans" w:eastAsia="Times New Roman" w:hAnsi="Open Sans" w:cs="Open Sans"/>
          <w:color w:val="19191A"/>
          <w:lang w:eastAsia="it-IT"/>
        </w:rPr>
        <w:t>–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,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 xml:space="preserve">mentre il 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>32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%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si è rivolta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 xml:space="preserve">a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consulenti finanziari e fiscali,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 xml:space="preserve"> e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il </w:t>
      </w:r>
      <w:r w:rsidR="009A0FEC" w:rsidRPr="000956BC">
        <w:rPr>
          <w:rFonts w:ascii="Open Sans" w:eastAsia="Times New Roman" w:hAnsi="Open Sans" w:cs="Open Sans"/>
          <w:color w:val="19191A"/>
          <w:lang w:eastAsia="it-IT"/>
        </w:rPr>
        <w:t>12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%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ha richiesto la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consulenza del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 xml:space="preserve">proprio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commercialista.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Il servizio maggiormente richiesto allo Studio Commercialista concerne il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supporto per </w:t>
      </w:r>
      <w:r w:rsidR="00B93D5A" w:rsidRPr="000956BC">
        <w:rPr>
          <w:rFonts w:ascii="Open Sans" w:eastAsia="Times New Roman" w:hAnsi="Open Sans" w:cs="Open Sans"/>
          <w:color w:val="19191A"/>
          <w:lang w:eastAsia="it-IT"/>
        </w:rPr>
        <w:t>l’ottenimento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di incentivi (62%). </w:t>
      </w:r>
    </w:p>
    <w:p w14:paraId="5F0B0E58" w14:textId="0AC4E70E" w:rsidR="009A0FEC" w:rsidRPr="000956BC" w:rsidRDefault="006B16A9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Ambiente e governance sono gli ambiti per i quali le imprese chiedono più frequentemente consulenza agli Studi dei Commercialisti.</w:t>
      </w:r>
    </w:p>
    <w:p w14:paraId="400182A3" w14:textId="3A5C7698" w:rsidR="00B93D5A" w:rsidRPr="000956BC" w:rsidRDefault="007A0BBE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I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 xml:space="preserve"> principali vantaggi riscontrati dalle imprese che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si adoperano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 xml:space="preserve"> per migliorare la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propria 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 xml:space="preserve">sostenibilità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afferiscono prevalentemente ad aspetti reputazionali, quali</w:t>
      </w:r>
      <w:r w:rsidR="001B5248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i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>l miglioramento della fiducia da parte degli stakeholder (36%), una maggiore legittimazione nei confronti del territorio e della comunità in cui opera l’azienda (27%), una migliore capacità di attrarre nuovi talenti (24</w:t>
      </w:r>
      <w:r w:rsidR="00D416E7" w:rsidRPr="000956BC">
        <w:rPr>
          <w:rFonts w:ascii="Open Sans" w:eastAsia="Times New Roman" w:hAnsi="Open Sans" w:cs="Open Sans"/>
          <w:color w:val="19191A"/>
          <w:lang w:eastAsia="it-IT"/>
        </w:rPr>
        <w:t>%)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. Secondari sono invece gli aspetti economici, tra i quali si segnala 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 xml:space="preserve">la riduzione dei costi di gestione legati al consumo di risorse (21%). </w:t>
      </w:r>
    </w:p>
    <w:p w14:paraId="6C33FDA0" w14:textId="77777777" w:rsidR="007A0BBE" w:rsidRPr="000956BC" w:rsidRDefault="007A0BBE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Parimenti, i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principali 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>fattori che rendono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4274DD" w:rsidRPr="000956BC">
        <w:rPr>
          <w:rFonts w:ascii="Open Sans" w:eastAsia="Times New Roman" w:hAnsi="Open Sans" w:cs="Open Sans"/>
          <w:color w:val="19191A"/>
          <w:lang w:eastAsia="it-IT"/>
        </w:rPr>
        <w:t xml:space="preserve">difficoltosa l’adozione </w:t>
      </w:r>
      <w:r w:rsidR="00283E66" w:rsidRPr="000956BC">
        <w:rPr>
          <w:rFonts w:ascii="Open Sans" w:eastAsia="Times New Roman" w:hAnsi="Open Sans" w:cs="Open Sans"/>
          <w:color w:val="19191A"/>
          <w:lang w:eastAsia="it-IT"/>
        </w:rPr>
        <w:t>di pratiche sostenibil</w:t>
      </w:r>
      <w:r w:rsidR="00ED77C5" w:rsidRPr="000956BC">
        <w:rPr>
          <w:rFonts w:ascii="Open Sans" w:eastAsia="Times New Roman" w:hAnsi="Open Sans" w:cs="Open Sans"/>
          <w:color w:val="19191A"/>
          <w:lang w:eastAsia="it-IT"/>
        </w:rPr>
        <w:t>i</w:t>
      </w:r>
      <w:r w:rsidR="00283E66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- fattori organizzativi (53%), mancanza di competenze interne (25%), costi di investimento (21%) - non </w:t>
      </w:r>
      <w:r w:rsidR="00283E66" w:rsidRPr="000956BC">
        <w:rPr>
          <w:rFonts w:ascii="Open Sans" w:eastAsia="Times New Roman" w:hAnsi="Open Sans" w:cs="Open Sans"/>
          <w:color w:val="19191A"/>
          <w:lang w:eastAsia="it-IT"/>
        </w:rPr>
        <w:t>sono riconducibili a question</w:t>
      </w:r>
      <w:r w:rsidR="00ED77C5" w:rsidRPr="000956BC">
        <w:rPr>
          <w:rFonts w:ascii="Open Sans" w:eastAsia="Times New Roman" w:hAnsi="Open Sans" w:cs="Open Sans"/>
          <w:color w:val="19191A"/>
          <w:lang w:eastAsia="it-IT"/>
        </w:rPr>
        <w:t xml:space="preserve">i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economiche</w:t>
      </w:r>
      <w:r w:rsidR="00283E66" w:rsidRPr="000956BC">
        <w:rPr>
          <w:rFonts w:ascii="Open Sans" w:eastAsia="Times New Roman" w:hAnsi="Open Sans" w:cs="Open Sans"/>
          <w:color w:val="19191A"/>
          <w:lang w:eastAsia="it-IT"/>
        </w:rPr>
        <w:t>.</w:t>
      </w:r>
    </w:p>
    <w:p w14:paraId="298544AD" w14:textId="6D0A5DA5" w:rsidR="00826A2D" w:rsidRPr="000956BC" w:rsidRDefault="00283E66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Le imprese </w:t>
      </w:r>
      <w:r w:rsidR="007A0BBE" w:rsidRPr="000956BC">
        <w:rPr>
          <w:rFonts w:ascii="Open Sans" w:eastAsia="Times New Roman" w:hAnsi="Open Sans" w:cs="Open Sans"/>
          <w:color w:val="19191A"/>
          <w:lang w:eastAsia="it-IT"/>
        </w:rPr>
        <w:t>che hanno sostenuto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investimenti in sostenibilità </w:t>
      </w:r>
      <w:r w:rsidR="007A0BBE" w:rsidRPr="000956BC">
        <w:rPr>
          <w:rFonts w:ascii="Open Sans" w:eastAsia="Times New Roman" w:hAnsi="Open Sans" w:cs="Open Sans"/>
          <w:color w:val="19191A"/>
          <w:lang w:eastAsia="it-IT"/>
        </w:rPr>
        <w:t>(o prevedono</w:t>
      </w:r>
      <w:r w:rsidR="00EA3863"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7A0BBE" w:rsidRPr="000956BC">
        <w:rPr>
          <w:rFonts w:ascii="Open Sans" w:eastAsia="Times New Roman" w:hAnsi="Open Sans" w:cs="Open Sans"/>
          <w:color w:val="19191A"/>
          <w:lang w:eastAsia="it-IT"/>
        </w:rPr>
        <w:t xml:space="preserve">di farlo)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>lo hanno fatto (o lo faranno) nel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68%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 xml:space="preserve"> dei casi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in modo autonomo, 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nel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32% </w:t>
      </w:r>
      <w:r w:rsidR="00D266FC" w:rsidRPr="000956BC">
        <w:rPr>
          <w:rFonts w:ascii="Open Sans" w:eastAsia="Times New Roman" w:hAnsi="Open Sans" w:cs="Open Sans"/>
          <w:color w:val="19191A"/>
          <w:lang w:eastAsia="it-IT"/>
        </w:rPr>
        <w:t>attraverso partnership</w:t>
      </w:r>
      <w:r w:rsidR="007A0BBE" w:rsidRPr="000956BC">
        <w:rPr>
          <w:rFonts w:ascii="Open Sans" w:eastAsia="Times New Roman" w:hAnsi="Open Sans" w:cs="Open Sans"/>
          <w:color w:val="19191A"/>
          <w:lang w:eastAsia="it-IT"/>
        </w:rPr>
        <w:t xml:space="preserve"> con a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l</w:t>
      </w:r>
      <w:r w:rsidR="007A0BBE" w:rsidRPr="000956BC">
        <w:rPr>
          <w:rFonts w:ascii="Open Sans" w:eastAsia="Times New Roman" w:hAnsi="Open Sans" w:cs="Open Sans"/>
          <w:color w:val="19191A"/>
          <w:lang w:eastAsia="it-IT"/>
        </w:rPr>
        <w:t xml:space="preserve">tri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>soggetti</w:t>
      </w:r>
      <w:r w:rsidR="00DF715B" w:rsidRPr="000956BC">
        <w:rPr>
          <w:rFonts w:ascii="Open Sans" w:eastAsia="Times New Roman" w:hAnsi="Open Sans" w:cs="Open Sans"/>
          <w:color w:val="19191A"/>
          <w:lang w:eastAsia="it-IT"/>
        </w:rPr>
        <w:t xml:space="preserve">. In media questo tipo di investimenti viene sostenuto nel 62% dei casi attraverso la fruizione di incentivi. </w:t>
      </w:r>
      <w:r w:rsidR="00826A2D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Solo il</w:t>
      </w:r>
      <w:r w:rsidR="00DF715B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35% dei commercialisti ha </w:t>
      </w:r>
      <w:r w:rsidR="00826A2D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almeno un’impresa cliente</w:t>
      </w:r>
      <w:r w:rsidR="00DF715B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che ha adottato o preved</w:t>
      </w:r>
      <w:r w:rsidR="00826A2D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e</w:t>
      </w:r>
      <w:r w:rsidR="00DF715B"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di adottare un rating ESG nei prossimi mesi</w:t>
      </w:r>
      <w:r w:rsidR="00DF715B" w:rsidRPr="000956BC">
        <w:rPr>
          <w:rFonts w:ascii="Open Sans" w:eastAsia="Times New Roman" w:hAnsi="Open Sans" w:cs="Open Sans"/>
          <w:color w:val="19191A"/>
          <w:lang w:eastAsia="it-IT"/>
        </w:rPr>
        <w:t xml:space="preserve">. </w:t>
      </w:r>
    </w:p>
    <w:p w14:paraId="3E9130FC" w14:textId="2B1796B9" w:rsidR="00826A2D" w:rsidRPr="000956BC" w:rsidRDefault="00DF715B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Le azioni di sostenibilità adottate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>vengono veicolate principalmente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>attraverso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il sito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 xml:space="preserve">internet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dell’azienda (49%),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>il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bilancio di sostenibilità (28%), 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 xml:space="preserve">o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sui social</w:t>
      </w:r>
      <w:r w:rsidR="00826A2D" w:rsidRPr="000956BC">
        <w:rPr>
          <w:rFonts w:ascii="Open Sans" w:eastAsia="Times New Roman" w:hAnsi="Open Sans" w:cs="Open Sans"/>
          <w:color w:val="19191A"/>
          <w:lang w:eastAsia="it-IT"/>
        </w:rPr>
        <w:t xml:space="preserve"> aziendali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(16%). </w:t>
      </w:r>
    </w:p>
    <w:p w14:paraId="6E1EB19C" w14:textId="5A442B91" w:rsidR="007C478C" w:rsidRPr="000956BC" w:rsidRDefault="00826A2D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Quali sono gli ambiti 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in materia di sostenibilità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ritenuti 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>maggiormente interessanti dalle imprese nei prossimi 3/5 anni? Il 66% dei Commercialisti ritiene che sia l’ambiente l’ambito sul quale le imprese dovranno</w:t>
      </w:r>
      <w:r w:rsidR="00DF715B" w:rsidRPr="000956BC">
        <w:rPr>
          <w:rFonts w:ascii="Open Sans" w:eastAsia="Times New Roman" w:hAnsi="Open Sans" w:cs="Open Sans"/>
          <w:color w:val="19191A"/>
          <w:lang w:eastAsia="it-IT"/>
        </w:rPr>
        <w:t xml:space="preserve"> investire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 prioritariamente,</w:t>
      </w:r>
      <w:r w:rsidR="00DF715B" w:rsidRPr="000956BC">
        <w:rPr>
          <w:rFonts w:ascii="Open Sans" w:eastAsia="Times New Roman" w:hAnsi="Open Sans" w:cs="Open Sans"/>
          <w:color w:val="19191A"/>
          <w:lang w:eastAsia="it-IT"/>
        </w:rPr>
        <w:t xml:space="preserve"> seguito dai lavoratori (44%), 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la </w:t>
      </w:r>
      <w:r w:rsidR="00DF715B" w:rsidRPr="000956BC">
        <w:rPr>
          <w:rFonts w:ascii="Open Sans" w:eastAsia="Times New Roman" w:hAnsi="Open Sans" w:cs="Open Sans"/>
          <w:color w:val="19191A"/>
          <w:lang w:eastAsia="it-IT"/>
        </w:rPr>
        <w:t xml:space="preserve">sicurezza (39%), 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e la </w:t>
      </w:r>
      <w:r w:rsidR="00A80A1C" w:rsidRPr="000956BC">
        <w:rPr>
          <w:rFonts w:ascii="Open Sans" w:eastAsia="Times New Roman" w:hAnsi="Open Sans" w:cs="Open Sans"/>
          <w:color w:val="19191A"/>
          <w:lang w:eastAsia="it-IT"/>
        </w:rPr>
        <w:t xml:space="preserve">qualità (33%). 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>C</w:t>
      </w:r>
      <w:r w:rsidR="00A80A1C" w:rsidRPr="000956BC">
        <w:rPr>
          <w:rFonts w:ascii="Open Sans" w:eastAsia="Times New Roman" w:hAnsi="Open Sans" w:cs="Open Sans"/>
          <w:color w:val="19191A"/>
          <w:lang w:eastAsia="it-IT"/>
        </w:rPr>
        <w:t>onsulenza strategica (53%), consulenza organizzativa e controllo (48%), contabilità e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 i</w:t>
      </w:r>
      <w:r w:rsidR="00A80A1C" w:rsidRPr="000956BC">
        <w:rPr>
          <w:rFonts w:ascii="Open Sans" w:eastAsia="Times New Roman" w:hAnsi="Open Sans" w:cs="Open Sans"/>
          <w:color w:val="19191A"/>
          <w:lang w:eastAsia="it-IT"/>
        </w:rPr>
        <w:t xml:space="preserve"> bilanci (43%)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 sa</w:t>
      </w:r>
      <w:r w:rsidR="00B72EC8" w:rsidRPr="000956BC">
        <w:rPr>
          <w:rFonts w:ascii="Open Sans" w:eastAsia="Times New Roman" w:hAnsi="Open Sans" w:cs="Open Sans"/>
          <w:color w:val="19191A"/>
          <w:lang w:eastAsia="it-IT"/>
        </w:rPr>
        <w:t>ra</w:t>
      </w:r>
      <w:r w:rsidR="00E5014C" w:rsidRPr="000956BC">
        <w:rPr>
          <w:rFonts w:ascii="Open Sans" w:eastAsia="Times New Roman" w:hAnsi="Open Sans" w:cs="Open Sans"/>
          <w:color w:val="19191A"/>
          <w:lang w:eastAsia="it-IT"/>
        </w:rPr>
        <w:t xml:space="preserve">nno i servizi di maggior interesse per le imprese clienti dei Commercialisti nei prossimi anni. </w:t>
      </w:r>
    </w:p>
    <w:p w14:paraId="123E1533" w14:textId="77777777" w:rsidR="005F6431" w:rsidRPr="000956BC" w:rsidRDefault="007C478C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color w:val="19191A"/>
          <w:lang w:eastAsia="it-IT"/>
        </w:rPr>
        <w:t>“</w:t>
      </w: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Da questa indagine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– afferma il 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presidente del Consiglio nazionale dei commercialisti, Elbano de Nuccio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 xml:space="preserve"> – </w:t>
      </w: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 xml:space="preserve">emerge un ritardo, sia tra le imprese che tra i professionisti, nella piena </w:t>
      </w:r>
    </w:p>
    <w:p w14:paraId="4AA9428F" w14:textId="77777777" w:rsidR="005F6431" w:rsidRPr="000956BC" w:rsidRDefault="005F6431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</w:p>
    <w:p w14:paraId="65ED9C2A" w14:textId="72BFFF12" w:rsidR="00195C8E" w:rsidRPr="000956BC" w:rsidRDefault="007C478C" w:rsidP="00E5014C">
      <w:pPr>
        <w:jc w:val="both"/>
        <w:rPr>
          <w:rFonts w:ascii="Open Sans" w:eastAsia="Times New Roman" w:hAnsi="Open Sans" w:cs="Open Sans"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 xml:space="preserve">comprensione dei vantaggi che possono derivare dai temi legati alla sostenibilità. Si pone per entrambi la necessità di familiarizzare con adempimenti di cui al momento non sempre si riesce a percepire la portata, la sostanziale ineludibilità e il valore aggiunto. Sarà fondamentale per le aziende intuire l’importanza della consulenza strategica che i commercialisti potranno offrire. Dal canto nostro, dovremo essere preparati su attività che stanno evolvendo anche in funzione della nuova normativa europea: reporting, </w:t>
      </w:r>
      <w:proofErr w:type="spellStart"/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assurance</w:t>
      </w:r>
      <w:proofErr w:type="spellEnd"/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, finanza, per le grandi aziende e per le PMI, ma anche per gli enti del terzo settore e le pubbliche amministrazioni. Con le imprese siamo chiamati ad un cambio di paradigma culturale. Dobbiamo crescere insieme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”.  </w:t>
      </w:r>
    </w:p>
    <w:p w14:paraId="07B3C6DC" w14:textId="6A3E5B66" w:rsidR="007C478C" w:rsidRPr="000956BC" w:rsidRDefault="00195C8E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 xml:space="preserve">“I dati emersi dall’Osservatorio ci confermano che esiste una fascia alta di imprese che si occupa di sostenibilità a differenza delle PMI che procedono ancora in modo incerto e inconsapevole, nonostante il mondo finanziario le stia valutando sotto il profilo della sostenibilità” – </w:t>
      </w:r>
      <w:r w:rsidRPr="000956BC">
        <w:rPr>
          <w:rFonts w:ascii="Open Sans" w:eastAsia="Times New Roman" w:hAnsi="Open Sans" w:cs="Open Sans"/>
          <w:color w:val="19191A"/>
          <w:lang w:eastAsia="it-IT"/>
        </w:rPr>
        <w:t>sottolinea</w:t>
      </w: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 xml:space="preserve"> Marco Marcatili, Responsabile Sviluppo e sostenibilità di Nomisma</w:t>
      </w: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. “A questo proposito il ruolo dei commercialisti è fondamentale perché sono le prime antenne che possono aiutare le imprese a crescere sotto il profilo della sostenibilità a patto che sviluppino il giusto profilo di competenze”.</w:t>
      </w:r>
    </w:p>
    <w:p w14:paraId="24211102" w14:textId="23964CAD" w:rsidR="00195C8E" w:rsidRPr="000956BC" w:rsidRDefault="00195C8E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</w:p>
    <w:p w14:paraId="58083F3F" w14:textId="5A99AD27" w:rsidR="00195C8E" w:rsidRPr="000956BC" w:rsidRDefault="00195C8E" w:rsidP="00E5014C">
      <w:pPr>
        <w:jc w:val="both"/>
        <w:rPr>
          <w:rFonts w:ascii="Open Sans" w:eastAsia="Times New Roman" w:hAnsi="Open Sans" w:cs="Open Sans"/>
          <w:b/>
          <w:b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Ufficio Stampa di Nomisma</w:t>
      </w:r>
    </w:p>
    <w:p w14:paraId="5494974B" w14:textId="5B0FEE60" w:rsidR="00195C8E" w:rsidRPr="000956BC" w:rsidRDefault="00000000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hyperlink r:id="rId10" w:history="1">
        <w:r w:rsidR="00195C8E" w:rsidRPr="000956BC">
          <w:rPr>
            <w:rStyle w:val="Collegamentoipertestuale"/>
            <w:rFonts w:ascii="Open Sans" w:eastAsia="Times New Roman" w:hAnsi="Open Sans" w:cs="Open Sans"/>
            <w:i/>
            <w:iCs/>
            <w:lang w:eastAsia="it-IT"/>
          </w:rPr>
          <w:t>ufficiostampa@nomisma.it</w:t>
        </w:r>
      </w:hyperlink>
    </w:p>
    <w:p w14:paraId="0F23B681" w14:textId="3DA2514F" w:rsidR="00195C8E" w:rsidRPr="000956BC" w:rsidRDefault="00195C8E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Edoardo Caprino – 339 5933457</w:t>
      </w:r>
    </w:p>
    <w:p w14:paraId="17161D9E" w14:textId="24584B8E" w:rsidR="00195C8E" w:rsidRPr="000956BC" w:rsidRDefault="00195C8E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Giulia Fabbri – 345 6156164</w:t>
      </w:r>
    </w:p>
    <w:p w14:paraId="12D54283" w14:textId="2EF62840" w:rsidR="002E5BEA" w:rsidRPr="000956BC" w:rsidRDefault="002E5BEA" w:rsidP="00E5014C">
      <w:pPr>
        <w:jc w:val="both"/>
        <w:rPr>
          <w:rFonts w:ascii="Open Sans" w:eastAsia="Times New Roman" w:hAnsi="Open Sans" w:cs="Open Sans"/>
          <w:b/>
          <w:b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b/>
          <w:bCs/>
          <w:color w:val="19191A"/>
          <w:lang w:eastAsia="it-IT"/>
        </w:rPr>
        <w:t>Ufficio stampa Consiglio nazionale commercialisti</w:t>
      </w:r>
    </w:p>
    <w:p w14:paraId="3472F964" w14:textId="3A75557F" w:rsidR="002E5BEA" w:rsidRPr="000956BC" w:rsidRDefault="00000000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hyperlink r:id="rId11" w:history="1">
        <w:r w:rsidR="002E5BEA" w:rsidRPr="000956BC">
          <w:rPr>
            <w:rStyle w:val="Collegamentoipertestuale"/>
            <w:rFonts w:ascii="Open Sans" w:eastAsia="Times New Roman" w:hAnsi="Open Sans" w:cs="Open Sans"/>
            <w:i/>
            <w:iCs/>
            <w:lang w:eastAsia="it-IT"/>
          </w:rPr>
          <w:t>stampa@commercialisti.it</w:t>
        </w:r>
      </w:hyperlink>
    </w:p>
    <w:p w14:paraId="5B8C8063" w14:textId="5A8AFA98" w:rsidR="002E5BEA" w:rsidRPr="000956BC" w:rsidRDefault="002E5BEA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Mauro Parracino – 334.3837514</w:t>
      </w:r>
    </w:p>
    <w:p w14:paraId="20BC875E" w14:textId="443B07C5" w:rsidR="00B834DE" w:rsidRDefault="00B834DE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  <w:r w:rsidRPr="000956BC">
        <w:rPr>
          <w:rFonts w:ascii="Open Sans" w:eastAsia="Times New Roman" w:hAnsi="Open Sans" w:cs="Open Sans"/>
          <w:i/>
          <w:iCs/>
          <w:color w:val="19191A"/>
          <w:lang w:eastAsia="it-IT"/>
        </w:rPr>
        <w:t>Tiziana Mastrogiacomo – 333.9917688</w:t>
      </w:r>
    </w:p>
    <w:p w14:paraId="61F247D9" w14:textId="7FE917A0" w:rsidR="002E5BEA" w:rsidRPr="002E5BEA" w:rsidRDefault="002E5BEA" w:rsidP="00E5014C">
      <w:pPr>
        <w:jc w:val="both"/>
        <w:rPr>
          <w:rFonts w:ascii="Open Sans" w:eastAsia="Times New Roman" w:hAnsi="Open Sans" w:cs="Open Sans"/>
          <w:i/>
          <w:iCs/>
          <w:color w:val="19191A"/>
          <w:lang w:eastAsia="it-IT"/>
        </w:rPr>
      </w:pPr>
    </w:p>
    <w:sectPr w:rsidR="002E5BEA" w:rsidRPr="002E5BE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DD05" w14:textId="77777777" w:rsidR="0037195E" w:rsidRDefault="0037195E" w:rsidP="00C71D99">
      <w:pPr>
        <w:spacing w:after="0" w:line="240" w:lineRule="auto"/>
      </w:pPr>
      <w:r>
        <w:separator/>
      </w:r>
    </w:p>
  </w:endnote>
  <w:endnote w:type="continuationSeparator" w:id="0">
    <w:p w14:paraId="2E81C2B8" w14:textId="77777777" w:rsidR="0037195E" w:rsidRDefault="0037195E" w:rsidP="00C7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8CFC" w14:textId="77777777" w:rsidR="0037195E" w:rsidRDefault="0037195E" w:rsidP="00C71D99">
      <w:pPr>
        <w:spacing w:after="0" w:line="240" w:lineRule="auto"/>
      </w:pPr>
      <w:r>
        <w:separator/>
      </w:r>
    </w:p>
  </w:footnote>
  <w:footnote w:type="continuationSeparator" w:id="0">
    <w:p w14:paraId="60C2A601" w14:textId="77777777" w:rsidR="0037195E" w:rsidRDefault="0037195E" w:rsidP="00C7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BD2A" w14:textId="40C72FF8" w:rsidR="00C71D99" w:rsidRDefault="00C71D99">
    <w:pPr>
      <w:pStyle w:val="Intestazione"/>
    </w:pPr>
    <w:r w:rsidRPr="00195C8E">
      <w:rPr>
        <w:b/>
        <w:bCs/>
        <w:noProof/>
        <w:sz w:val="40"/>
        <w:szCs w:val="40"/>
      </w:rPr>
      <w:drawing>
        <wp:inline distT="0" distB="0" distL="0" distR="0" wp14:anchorId="2AA59249" wp14:editId="2CE9C0F4">
          <wp:extent cx="2338754" cy="868680"/>
          <wp:effectExtent l="0" t="0" r="4445" b="762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2573" cy="870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b/>
        <w:bCs/>
        <w:noProof/>
        <w:sz w:val="40"/>
        <w:szCs w:val="40"/>
      </w:rPr>
      <w:drawing>
        <wp:inline distT="0" distB="0" distL="0" distR="0" wp14:anchorId="4632E652" wp14:editId="29BAB53A">
          <wp:extent cx="1897380" cy="1038566"/>
          <wp:effectExtent l="0" t="0" r="7620" b="952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510" cy="104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F2E5C"/>
    <w:multiLevelType w:val="hybridMultilevel"/>
    <w:tmpl w:val="36DE40AA"/>
    <w:lvl w:ilvl="0" w:tplc="47F62CC8">
      <w:start w:val="1"/>
      <w:numFmt w:val="decimal"/>
      <w:lvlText w:val="%1."/>
      <w:lvlJc w:val="left"/>
      <w:pPr>
        <w:ind w:left="2203" w:hanging="360"/>
      </w:pPr>
      <w:rPr>
        <w:b/>
        <w:bCs/>
        <w:i w:val="0"/>
        <w:i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3F"/>
    <w:rsid w:val="000628BC"/>
    <w:rsid w:val="000956BC"/>
    <w:rsid w:val="000D450B"/>
    <w:rsid w:val="00105734"/>
    <w:rsid w:val="00187D2B"/>
    <w:rsid w:val="00195C8E"/>
    <w:rsid w:val="001B5248"/>
    <w:rsid w:val="0023469F"/>
    <w:rsid w:val="00283E66"/>
    <w:rsid w:val="002E5BEA"/>
    <w:rsid w:val="003605A6"/>
    <w:rsid w:val="00360FE5"/>
    <w:rsid w:val="0037195E"/>
    <w:rsid w:val="003736F6"/>
    <w:rsid w:val="00387505"/>
    <w:rsid w:val="003B47E8"/>
    <w:rsid w:val="003B5543"/>
    <w:rsid w:val="003D493F"/>
    <w:rsid w:val="004274DD"/>
    <w:rsid w:val="00442FE9"/>
    <w:rsid w:val="004C3104"/>
    <w:rsid w:val="004D1716"/>
    <w:rsid w:val="004E6F13"/>
    <w:rsid w:val="004F4249"/>
    <w:rsid w:val="004F624F"/>
    <w:rsid w:val="005876A5"/>
    <w:rsid w:val="005B298E"/>
    <w:rsid w:val="005F6431"/>
    <w:rsid w:val="005F7924"/>
    <w:rsid w:val="00630B81"/>
    <w:rsid w:val="006B16A9"/>
    <w:rsid w:val="007A0BBE"/>
    <w:rsid w:val="007C07A1"/>
    <w:rsid w:val="007C478C"/>
    <w:rsid w:val="007E4FF9"/>
    <w:rsid w:val="007F13FA"/>
    <w:rsid w:val="007F5F5E"/>
    <w:rsid w:val="00821FA5"/>
    <w:rsid w:val="00826A2D"/>
    <w:rsid w:val="008415A1"/>
    <w:rsid w:val="008804DE"/>
    <w:rsid w:val="008B7BD4"/>
    <w:rsid w:val="009A0FEC"/>
    <w:rsid w:val="009D61E9"/>
    <w:rsid w:val="009E762C"/>
    <w:rsid w:val="009F5648"/>
    <w:rsid w:val="00A578C5"/>
    <w:rsid w:val="00A80A1C"/>
    <w:rsid w:val="00B05845"/>
    <w:rsid w:val="00B31F2D"/>
    <w:rsid w:val="00B324FA"/>
    <w:rsid w:val="00B72EC8"/>
    <w:rsid w:val="00B834DE"/>
    <w:rsid w:val="00B93D5A"/>
    <w:rsid w:val="00BA3C16"/>
    <w:rsid w:val="00BB3335"/>
    <w:rsid w:val="00C71D99"/>
    <w:rsid w:val="00C83305"/>
    <w:rsid w:val="00C93962"/>
    <w:rsid w:val="00CE66FA"/>
    <w:rsid w:val="00D1243A"/>
    <w:rsid w:val="00D266FC"/>
    <w:rsid w:val="00D416E7"/>
    <w:rsid w:val="00D564C8"/>
    <w:rsid w:val="00D9393D"/>
    <w:rsid w:val="00DF715B"/>
    <w:rsid w:val="00E5014C"/>
    <w:rsid w:val="00E56D63"/>
    <w:rsid w:val="00E57F03"/>
    <w:rsid w:val="00E76392"/>
    <w:rsid w:val="00E80306"/>
    <w:rsid w:val="00E95BFF"/>
    <w:rsid w:val="00EA3863"/>
    <w:rsid w:val="00EC4899"/>
    <w:rsid w:val="00EC7693"/>
    <w:rsid w:val="00ED77C5"/>
    <w:rsid w:val="00F46F2F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25F6C"/>
  <w15:chartTrackingRefBased/>
  <w15:docId w15:val="{A5B12155-461B-4DEF-98B6-ABE6A80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7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493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D493F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76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ntentpasted0">
    <w:name w:val="contentpasted0"/>
    <w:basedOn w:val="Carpredefinitoparagrafo"/>
    <w:rsid w:val="007C478C"/>
  </w:style>
  <w:style w:type="character" w:styleId="Menzionenonrisolta">
    <w:name w:val="Unresolved Mention"/>
    <w:basedOn w:val="Carpredefinitoparagrafo"/>
    <w:uiPriority w:val="99"/>
    <w:semiHidden/>
    <w:unhideWhenUsed/>
    <w:rsid w:val="00195C8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71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D99"/>
  </w:style>
  <w:style w:type="paragraph" w:styleId="Pidipagina">
    <w:name w:val="footer"/>
    <w:basedOn w:val="Normale"/>
    <w:link w:val="PidipaginaCarattere"/>
    <w:uiPriority w:val="99"/>
    <w:unhideWhenUsed/>
    <w:rsid w:val="00C71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mpa@commercialist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fficiostampa@nomism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7D0D-D6A7-46B8-960C-EDBC3EFC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Fabbri</dc:creator>
  <cp:keywords/>
  <dc:description/>
  <cp:lastModifiedBy>Mastrogiacomo Tiziana</cp:lastModifiedBy>
  <cp:revision>19</cp:revision>
  <cp:lastPrinted>2022-10-12T14:58:00Z</cp:lastPrinted>
  <dcterms:created xsi:type="dcterms:W3CDTF">2022-10-13T08:13:00Z</dcterms:created>
  <dcterms:modified xsi:type="dcterms:W3CDTF">2022-10-14T13:02:00Z</dcterms:modified>
</cp:coreProperties>
</file>