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E3D14" w14:textId="77777777" w:rsidR="00A25D50" w:rsidRDefault="00A25D50" w:rsidP="002A143A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14:paraId="2C2A198F" w14:textId="7A78EA21" w:rsidR="00A25D50" w:rsidRPr="009A2BD7" w:rsidRDefault="00A25D50" w:rsidP="002A143A">
      <w:pPr>
        <w:jc w:val="center"/>
        <w:rPr>
          <w:rFonts w:ascii="Arial" w:hAnsi="Arial" w:cs="Arial"/>
          <w:b/>
          <w:bCs/>
          <w:u w:val="single"/>
        </w:rPr>
      </w:pPr>
      <w:r w:rsidRPr="009A2BD7">
        <w:rPr>
          <w:rFonts w:ascii="Arial" w:hAnsi="Arial" w:cs="Arial"/>
          <w:b/>
          <w:bCs/>
          <w:u w:val="single"/>
        </w:rPr>
        <w:t>Comunicato stampa</w:t>
      </w:r>
    </w:p>
    <w:p w14:paraId="15CF738C" w14:textId="77777777" w:rsidR="001072C8" w:rsidRPr="009A2BD7" w:rsidRDefault="001072C8" w:rsidP="002A143A">
      <w:pPr>
        <w:jc w:val="center"/>
        <w:rPr>
          <w:rFonts w:ascii="Arial" w:hAnsi="Arial" w:cs="Arial"/>
          <w:b/>
          <w:bCs/>
          <w:u w:val="single"/>
        </w:rPr>
      </w:pPr>
    </w:p>
    <w:p w14:paraId="232D88E9" w14:textId="09962072" w:rsidR="001072C8" w:rsidRPr="009A2BD7" w:rsidRDefault="001072C8" w:rsidP="002A143A">
      <w:pPr>
        <w:jc w:val="center"/>
        <w:rPr>
          <w:rFonts w:ascii="Arial" w:hAnsi="Arial" w:cs="Arial"/>
          <w:b/>
          <w:bCs/>
        </w:rPr>
      </w:pPr>
      <w:r w:rsidRPr="009A2BD7">
        <w:rPr>
          <w:rFonts w:ascii="Arial" w:hAnsi="Arial" w:cs="Arial"/>
          <w:b/>
          <w:bCs/>
        </w:rPr>
        <w:t>PRINCIPI ESRS, IL CONSIGLIO NAZIONALE RENDE DISPONIBILI LE TRADUZIONI DEL</w:t>
      </w:r>
      <w:r w:rsidR="003F296E" w:rsidRPr="009A2BD7">
        <w:rPr>
          <w:rFonts w:ascii="Arial" w:hAnsi="Arial" w:cs="Arial"/>
          <w:b/>
          <w:bCs/>
        </w:rPr>
        <w:t xml:space="preserve"> MATERIALE DI SUPPORTO AI DRAFT STANDARDS</w:t>
      </w:r>
      <w:r w:rsidRPr="009A2BD7">
        <w:rPr>
          <w:rFonts w:ascii="Arial" w:hAnsi="Arial" w:cs="Arial"/>
          <w:b/>
          <w:bCs/>
        </w:rPr>
        <w:t xml:space="preserve"> EFRAG</w:t>
      </w:r>
    </w:p>
    <w:p w14:paraId="19CF3394" w14:textId="77777777" w:rsidR="001072C8" w:rsidRPr="009A2BD7" w:rsidRDefault="001072C8" w:rsidP="002A143A">
      <w:pPr>
        <w:jc w:val="center"/>
        <w:rPr>
          <w:rFonts w:ascii="Arial" w:hAnsi="Arial" w:cs="Arial"/>
          <w:b/>
          <w:bCs/>
        </w:rPr>
      </w:pPr>
    </w:p>
    <w:p w14:paraId="6CBA6CFD" w14:textId="1A95E353" w:rsidR="001072C8" w:rsidRPr="009A2BD7" w:rsidRDefault="001072C8" w:rsidP="002A143A">
      <w:pPr>
        <w:jc w:val="center"/>
        <w:rPr>
          <w:rFonts w:ascii="Arial" w:hAnsi="Arial" w:cs="Arial"/>
        </w:rPr>
      </w:pPr>
      <w:r w:rsidRPr="009A2BD7">
        <w:rPr>
          <w:rFonts w:ascii="Arial" w:hAnsi="Arial" w:cs="Arial"/>
          <w:b/>
          <w:bCs/>
        </w:rPr>
        <w:t xml:space="preserve">Le regole a cui le imprese devono conformarsi nel rendicontare impatti, rischi e opportunità legati alla sostenibilità in base alla Direttiva sul Corporate </w:t>
      </w:r>
      <w:proofErr w:type="spellStart"/>
      <w:r w:rsidRPr="009A2BD7">
        <w:rPr>
          <w:rFonts w:ascii="Arial" w:hAnsi="Arial" w:cs="Arial"/>
          <w:b/>
          <w:bCs/>
        </w:rPr>
        <w:t>Sustainable</w:t>
      </w:r>
      <w:proofErr w:type="spellEnd"/>
      <w:r w:rsidRPr="009A2BD7">
        <w:rPr>
          <w:rFonts w:ascii="Arial" w:hAnsi="Arial" w:cs="Arial"/>
          <w:b/>
          <w:bCs/>
        </w:rPr>
        <w:t xml:space="preserve"> Reporting (CSRD)</w:t>
      </w:r>
    </w:p>
    <w:p w14:paraId="0AB0AEAC" w14:textId="77777777" w:rsidR="00C04C6A" w:rsidRPr="009A2BD7" w:rsidRDefault="00C04C6A" w:rsidP="002A143A">
      <w:pPr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6FD1F147" w14:textId="249DBF3E" w:rsidR="00D626C3" w:rsidRPr="009A2BD7" w:rsidRDefault="00BC0331" w:rsidP="001072C8">
      <w:pPr>
        <w:pStyle w:val="NormaleWeb"/>
        <w:shd w:val="clear" w:color="auto" w:fill="FFFFFF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9A2BD7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Roma, </w:t>
      </w:r>
      <w:r w:rsidR="002A143A" w:rsidRPr="009A2BD7">
        <w:rPr>
          <w:rFonts w:ascii="Arial" w:hAnsi="Arial" w:cs="Arial"/>
          <w:i/>
          <w:iCs/>
          <w:sz w:val="22"/>
          <w:szCs w:val="22"/>
          <w:shd w:val="clear" w:color="auto" w:fill="FFFFFF"/>
        </w:rPr>
        <w:t>1</w:t>
      </w:r>
      <w:r w:rsidR="001072C8" w:rsidRPr="009A2BD7">
        <w:rPr>
          <w:rFonts w:ascii="Arial" w:hAnsi="Arial" w:cs="Arial"/>
          <w:i/>
          <w:iCs/>
          <w:sz w:val="22"/>
          <w:szCs w:val="22"/>
          <w:shd w:val="clear" w:color="auto" w:fill="FFFFFF"/>
        </w:rPr>
        <w:t>3</w:t>
      </w:r>
      <w:r w:rsidRPr="009A2BD7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 luglio 2023 –</w:t>
      </w:r>
      <w:r w:rsidRPr="009A2BD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072C8" w:rsidRPr="009A2BD7">
        <w:rPr>
          <w:rFonts w:ascii="Arial" w:hAnsi="Arial" w:cs="Arial"/>
          <w:sz w:val="22"/>
          <w:szCs w:val="22"/>
          <w:shd w:val="clear" w:color="auto" w:fill="FFFFFF"/>
        </w:rPr>
        <w:t>Il Consiglio nazionale dei commercialisti ha pubblicato</w:t>
      </w:r>
      <w:r w:rsidR="00D626C3" w:rsidRPr="009A2BD7">
        <w:rPr>
          <w:rFonts w:ascii="Arial" w:hAnsi="Arial" w:cs="Arial"/>
          <w:sz w:val="22"/>
          <w:szCs w:val="22"/>
          <w:shd w:val="clear" w:color="auto" w:fill="FFFFFF"/>
        </w:rPr>
        <w:t xml:space="preserve"> le traduzioni d</w:t>
      </w:r>
      <w:r w:rsidR="00356418" w:rsidRPr="009A2BD7">
        <w:rPr>
          <w:rFonts w:ascii="Arial" w:hAnsi="Arial" w:cs="Arial"/>
          <w:sz w:val="22"/>
          <w:szCs w:val="22"/>
          <w:shd w:val="clear" w:color="auto" w:fill="FFFFFF"/>
        </w:rPr>
        <w:t xml:space="preserve">i </w:t>
      </w:r>
      <w:r w:rsidR="00FE1C1C" w:rsidRPr="009A2BD7">
        <w:rPr>
          <w:rFonts w:ascii="Arial" w:hAnsi="Arial" w:cs="Arial"/>
          <w:sz w:val="22"/>
          <w:szCs w:val="22"/>
          <w:shd w:val="clear" w:color="auto" w:fill="FFFFFF"/>
        </w:rPr>
        <w:t>cinque dei dieci</w:t>
      </w:r>
      <w:r w:rsidR="00356418" w:rsidRPr="009A2BD7">
        <w:rPr>
          <w:rFonts w:ascii="Arial" w:hAnsi="Arial" w:cs="Arial"/>
          <w:sz w:val="22"/>
          <w:szCs w:val="22"/>
          <w:shd w:val="clear" w:color="auto" w:fill="FFFFFF"/>
        </w:rPr>
        <w:t xml:space="preserve"> moduli che presentano e approfondiscono i principi </w:t>
      </w:r>
      <w:r w:rsidR="00D626C3" w:rsidRPr="009A2BD7">
        <w:rPr>
          <w:rFonts w:ascii="Arial" w:eastAsia="Times New Roman" w:hAnsi="Arial" w:cs="Arial"/>
          <w:color w:val="333333"/>
          <w:sz w:val="22"/>
          <w:szCs w:val="22"/>
          <w:lang w:eastAsia="it-IT"/>
        </w:rPr>
        <w:t>ESRS (</w:t>
      </w:r>
      <w:proofErr w:type="spellStart"/>
      <w:r w:rsidR="00D626C3" w:rsidRPr="009A2BD7">
        <w:rPr>
          <w:rFonts w:ascii="Arial" w:eastAsia="Times New Roman" w:hAnsi="Arial" w:cs="Arial"/>
          <w:color w:val="333333"/>
          <w:sz w:val="22"/>
          <w:szCs w:val="22"/>
          <w:lang w:eastAsia="it-IT"/>
        </w:rPr>
        <w:t>European</w:t>
      </w:r>
      <w:proofErr w:type="spellEnd"/>
      <w:r w:rsidR="00D626C3" w:rsidRPr="009A2BD7">
        <w:rPr>
          <w:rFonts w:ascii="Arial" w:eastAsia="Times New Roman" w:hAnsi="Arial" w:cs="Arial"/>
          <w:color w:val="333333"/>
          <w:sz w:val="22"/>
          <w:szCs w:val="22"/>
          <w:lang w:eastAsia="it-IT"/>
        </w:rPr>
        <w:t xml:space="preserve"> </w:t>
      </w:r>
      <w:proofErr w:type="spellStart"/>
      <w:r w:rsidR="00D626C3" w:rsidRPr="009A2BD7">
        <w:rPr>
          <w:rFonts w:ascii="Arial" w:eastAsia="Times New Roman" w:hAnsi="Arial" w:cs="Arial"/>
          <w:color w:val="333333"/>
          <w:sz w:val="22"/>
          <w:szCs w:val="22"/>
          <w:lang w:eastAsia="it-IT"/>
        </w:rPr>
        <w:t>Sustainability</w:t>
      </w:r>
      <w:proofErr w:type="spellEnd"/>
      <w:r w:rsidR="00D626C3" w:rsidRPr="009A2BD7">
        <w:rPr>
          <w:rFonts w:ascii="Arial" w:eastAsia="Times New Roman" w:hAnsi="Arial" w:cs="Arial"/>
          <w:color w:val="333333"/>
          <w:sz w:val="22"/>
          <w:szCs w:val="22"/>
          <w:lang w:eastAsia="it-IT"/>
        </w:rPr>
        <w:t xml:space="preserve"> Reporting Standards)</w:t>
      </w:r>
      <w:r w:rsidR="00AE0BB1" w:rsidRPr="009A2BD7">
        <w:rPr>
          <w:rFonts w:ascii="Arial" w:eastAsia="Times New Roman" w:hAnsi="Arial" w:cs="Arial"/>
          <w:color w:val="333333"/>
          <w:sz w:val="22"/>
          <w:szCs w:val="22"/>
          <w:lang w:eastAsia="it-IT"/>
        </w:rPr>
        <w:t xml:space="preserve">, </w:t>
      </w:r>
      <w:r w:rsidR="00FE1C1C" w:rsidRPr="009A2BD7">
        <w:rPr>
          <w:rFonts w:ascii="Arial" w:hAnsi="Arial" w:cs="Arial"/>
          <w:sz w:val="22"/>
          <w:szCs w:val="22"/>
          <w:shd w:val="clear" w:color="auto" w:fill="FFFFFF"/>
        </w:rPr>
        <w:t xml:space="preserve">elaborati da EFRAG </w:t>
      </w:r>
      <w:r w:rsidR="00FE1C1C" w:rsidRPr="009A2BD7">
        <w:rPr>
          <w:rFonts w:ascii="Arial" w:eastAsia="Times New Roman" w:hAnsi="Arial" w:cs="Arial"/>
          <w:color w:val="333333"/>
          <w:sz w:val="22"/>
          <w:szCs w:val="22"/>
          <w:lang w:eastAsia="it-IT"/>
        </w:rPr>
        <w:t>(</w:t>
      </w:r>
      <w:proofErr w:type="spellStart"/>
      <w:r w:rsidR="00FE1C1C" w:rsidRPr="009A2BD7">
        <w:rPr>
          <w:rFonts w:ascii="Arial" w:eastAsia="Times New Roman" w:hAnsi="Arial" w:cs="Arial"/>
          <w:i/>
          <w:iCs/>
          <w:color w:val="333333"/>
          <w:sz w:val="22"/>
          <w:szCs w:val="22"/>
          <w:bdr w:val="none" w:sz="0" w:space="0" w:color="auto" w:frame="1"/>
          <w:lang w:eastAsia="it-IT"/>
        </w:rPr>
        <w:t>European</w:t>
      </w:r>
      <w:proofErr w:type="spellEnd"/>
      <w:r w:rsidR="00FE1C1C" w:rsidRPr="009A2BD7">
        <w:rPr>
          <w:rFonts w:ascii="Arial" w:eastAsia="Times New Roman" w:hAnsi="Arial" w:cs="Arial"/>
          <w:i/>
          <w:iCs/>
          <w:color w:val="333333"/>
          <w:sz w:val="22"/>
          <w:szCs w:val="22"/>
          <w:bdr w:val="none" w:sz="0" w:space="0" w:color="auto" w:frame="1"/>
          <w:lang w:eastAsia="it-IT"/>
        </w:rPr>
        <w:t xml:space="preserve"> Financial Reporting </w:t>
      </w:r>
      <w:proofErr w:type="spellStart"/>
      <w:r w:rsidR="00FE1C1C" w:rsidRPr="009A2BD7">
        <w:rPr>
          <w:rFonts w:ascii="Arial" w:eastAsia="Times New Roman" w:hAnsi="Arial" w:cs="Arial"/>
          <w:i/>
          <w:iCs/>
          <w:color w:val="333333"/>
          <w:sz w:val="22"/>
          <w:szCs w:val="22"/>
          <w:bdr w:val="none" w:sz="0" w:space="0" w:color="auto" w:frame="1"/>
          <w:lang w:eastAsia="it-IT"/>
        </w:rPr>
        <w:t>Advisory</w:t>
      </w:r>
      <w:proofErr w:type="spellEnd"/>
      <w:r w:rsidR="00FE1C1C" w:rsidRPr="009A2BD7">
        <w:rPr>
          <w:rFonts w:ascii="Arial" w:eastAsia="Times New Roman" w:hAnsi="Arial" w:cs="Arial"/>
          <w:i/>
          <w:iCs/>
          <w:color w:val="333333"/>
          <w:sz w:val="22"/>
          <w:szCs w:val="22"/>
          <w:bdr w:val="none" w:sz="0" w:space="0" w:color="auto" w:frame="1"/>
          <w:lang w:eastAsia="it-IT"/>
        </w:rPr>
        <w:t xml:space="preserve"> Group</w:t>
      </w:r>
      <w:r w:rsidR="00FE1C1C" w:rsidRPr="009A2BD7">
        <w:rPr>
          <w:rFonts w:ascii="Arial" w:eastAsia="Times New Roman" w:hAnsi="Arial" w:cs="Arial"/>
          <w:color w:val="333333"/>
          <w:sz w:val="22"/>
          <w:szCs w:val="22"/>
          <w:lang w:eastAsia="it-IT"/>
        </w:rPr>
        <w:t xml:space="preserve">) su incarico della Commissione europea, </w:t>
      </w:r>
      <w:r w:rsidR="00AE0BB1" w:rsidRPr="009A2BD7">
        <w:rPr>
          <w:rFonts w:ascii="Arial" w:eastAsia="Times New Roman" w:hAnsi="Arial" w:cs="Arial"/>
          <w:color w:val="333333"/>
          <w:sz w:val="22"/>
          <w:szCs w:val="22"/>
          <w:lang w:eastAsia="it-IT"/>
        </w:rPr>
        <w:t>che definiscono le </w:t>
      </w:r>
      <w:r w:rsidR="00AE0BB1" w:rsidRPr="009A2BD7">
        <w:rPr>
          <w:rFonts w:ascii="Arial" w:eastAsia="Times New Roman" w:hAnsi="Arial" w:cs="Arial"/>
          <w:color w:val="333333"/>
          <w:sz w:val="22"/>
          <w:szCs w:val="22"/>
          <w:bdr w:val="none" w:sz="0" w:space="0" w:color="auto" w:frame="1"/>
          <w:lang w:eastAsia="it-IT"/>
        </w:rPr>
        <w:t>regole a cui le imprese sono tenute a conformarsi nel</w:t>
      </w:r>
      <w:r w:rsidR="00AE0BB1" w:rsidRPr="009A2BD7">
        <w:rPr>
          <w:rFonts w:ascii="Arial" w:eastAsia="Times New Roman" w:hAnsi="Arial" w:cs="Arial"/>
          <w:b/>
          <w:bCs/>
          <w:color w:val="333333"/>
          <w:sz w:val="22"/>
          <w:szCs w:val="22"/>
          <w:bdr w:val="none" w:sz="0" w:space="0" w:color="auto" w:frame="1"/>
          <w:lang w:eastAsia="it-IT"/>
        </w:rPr>
        <w:t xml:space="preserve"> rendicontare impatti, rischi e opportunità legati alla sostenibilità</w:t>
      </w:r>
      <w:r w:rsidR="00AE0BB1" w:rsidRPr="009A2BD7">
        <w:rPr>
          <w:rFonts w:ascii="Arial" w:eastAsia="Times New Roman" w:hAnsi="Arial" w:cs="Arial"/>
          <w:color w:val="333333"/>
          <w:sz w:val="22"/>
          <w:szCs w:val="22"/>
          <w:lang w:eastAsia="it-IT"/>
        </w:rPr>
        <w:t xml:space="preserve">, secondo quanto previsto dalla Direttiva sul Corporate </w:t>
      </w:r>
      <w:proofErr w:type="spellStart"/>
      <w:r w:rsidR="00AE0BB1" w:rsidRPr="009A2BD7">
        <w:rPr>
          <w:rFonts w:ascii="Arial" w:eastAsia="Times New Roman" w:hAnsi="Arial" w:cs="Arial"/>
          <w:color w:val="333333"/>
          <w:sz w:val="22"/>
          <w:szCs w:val="22"/>
          <w:lang w:eastAsia="it-IT"/>
        </w:rPr>
        <w:t>Sustainable</w:t>
      </w:r>
      <w:proofErr w:type="spellEnd"/>
      <w:r w:rsidR="00AE0BB1" w:rsidRPr="009A2BD7">
        <w:rPr>
          <w:rFonts w:ascii="Arial" w:eastAsia="Times New Roman" w:hAnsi="Arial" w:cs="Arial"/>
          <w:color w:val="333333"/>
          <w:sz w:val="22"/>
          <w:szCs w:val="22"/>
          <w:lang w:eastAsia="it-IT"/>
        </w:rPr>
        <w:t xml:space="preserve"> Reporting (CSRD).</w:t>
      </w:r>
    </w:p>
    <w:p w14:paraId="0B26A1C5" w14:textId="77777777" w:rsidR="00D626C3" w:rsidRPr="009A2BD7" w:rsidRDefault="00D626C3" w:rsidP="001072C8">
      <w:pPr>
        <w:pStyle w:val="NormaleWeb"/>
        <w:shd w:val="clear" w:color="auto" w:fill="FFFFFF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48C7B507" w14:textId="44B5A5F7" w:rsidR="00FE1C1C" w:rsidRPr="009A2BD7" w:rsidRDefault="00FE1C1C" w:rsidP="00FE1C1C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333333"/>
          <w:lang w:eastAsia="it-IT"/>
        </w:rPr>
      </w:pPr>
      <w:r w:rsidRPr="009A2BD7">
        <w:rPr>
          <w:rFonts w:ascii="Arial" w:eastAsia="Times New Roman" w:hAnsi="Arial" w:cs="Arial"/>
          <w:color w:val="333333"/>
          <w:lang w:eastAsia="it-IT"/>
        </w:rPr>
        <w:t xml:space="preserve">I </w:t>
      </w:r>
      <w:hyperlink r:id="rId7" w:history="1">
        <w:r w:rsidRPr="009A2BD7">
          <w:rPr>
            <w:rFonts w:ascii="Arial" w:eastAsia="Times New Roman" w:hAnsi="Arial" w:cs="Arial"/>
            <w:color w:val="F7323F"/>
            <w:u w:val="single"/>
            <w:bdr w:val="none" w:sz="0" w:space="0" w:color="auto" w:frame="1"/>
            <w:lang w:eastAsia="it-IT"/>
          </w:rPr>
          <w:t>primi cinque moduli</w:t>
        </w:r>
      </w:hyperlink>
      <w:r w:rsidRPr="009A2BD7">
        <w:rPr>
          <w:rFonts w:ascii="Arial" w:eastAsia="Times New Roman" w:hAnsi="Arial" w:cs="Arial"/>
          <w:color w:val="333333"/>
          <w:lang w:eastAsia="it-IT"/>
        </w:rPr>
        <w:t> presentano e approfondiscono i contenuti dei principi ESRS 1, </w:t>
      </w:r>
      <w:r w:rsidRPr="009A2BD7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it-IT"/>
        </w:rPr>
        <w:t xml:space="preserve">General </w:t>
      </w:r>
      <w:proofErr w:type="spellStart"/>
      <w:r w:rsidRPr="009A2BD7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it-IT"/>
        </w:rPr>
        <w:t>Requirements</w:t>
      </w:r>
      <w:proofErr w:type="spellEnd"/>
      <w:r w:rsidRPr="009A2BD7">
        <w:rPr>
          <w:rFonts w:ascii="Arial" w:eastAsia="Times New Roman" w:hAnsi="Arial" w:cs="Arial"/>
          <w:color w:val="333333"/>
          <w:lang w:eastAsia="it-IT"/>
        </w:rPr>
        <w:t>, ESRS 2 </w:t>
      </w:r>
      <w:r w:rsidRPr="009A2BD7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it-IT"/>
        </w:rPr>
        <w:t xml:space="preserve">General </w:t>
      </w:r>
      <w:proofErr w:type="spellStart"/>
      <w:r w:rsidRPr="009A2BD7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it-IT"/>
        </w:rPr>
        <w:t>Disclosures</w:t>
      </w:r>
      <w:proofErr w:type="spellEnd"/>
      <w:r w:rsidRPr="009A2BD7">
        <w:rPr>
          <w:rFonts w:ascii="Arial" w:eastAsia="Times New Roman" w:hAnsi="Arial" w:cs="Arial"/>
          <w:color w:val="333333"/>
          <w:lang w:eastAsia="it-IT"/>
        </w:rPr>
        <w:t>, ESRS E1 </w:t>
      </w:r>
      <w:proofErr w:type="spellStart"/>
      <w:r w:rsidRPr="009A2BD7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it-IT"/>
        </w:rPr>
        <w:t>Climate</w:t>
      </w:r>
      <w:proofErr w:type="spellEnd"/>
      <w:r w:rsidRPr="009A2BD7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it-IT"/>
        </w:rPr>
        <w:t xml:space="preserve"> </w:t>
      </w:r>
      <w:proofErr w:type="spellStart"/>
      <w:r w:rsidRPr="009A2BD7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it-IT"/>
        </w:rPr>
        <w:t>change</w:t>
      </w:r>
      <w:proofErr w:type="spellEnd"/>
      <w:r w:rsidRPr="009A2BD7">
        <w:rPr>
          <w:rFonts w:ascii="Arial" w:eastAsia="Times New Roman" w:hAnsi="Arial" w:cs="Arial"/>
          <w:color w:val="333333"/>
          <w:lang w:eastAsia="it-IT"/>
        </w:rPr>
        <w:t>, ESRS E2 </w:t>
      </w:r>
      <w:proofErr w:type="spellStart"/>
      <w:r w:rsidRPr="009A2BD7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it-IT"/>
        </w:rPr>
        <w:t>Pollution</w:t>
      </w:r>
      <w:proofErr w:type="spellEnd"/>
      <w:r w:rsidRPr="009A2BD7">
        <w:rPr>
          <w:rFonts w:ascii="Arial" w:eastAsia="Times New Roman" w:hAnsi="Arial" w:cs="Arial"/>
          <w:color w:val="333333"/>
          <w:lang w:eastAsia="it-IT"/>
        </w:rPr>
        <w:t>, ESRS E3 </w:t>
      </w:r>
      <w:r w:rsidRPr="009A2BD7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it-IT"/>
        </w:rPr>
        <w:t xml:space="preserve">Water and marine </w:t>
      </w:r>
      <w:proofErr w:type="spellStart"/>
      <w:r w:rsidRPr="009A2BD7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it-IT"/>
        </w:rPr>
        <w:t>resources</w:t>
      </w:r>
      <w:proofErr w:type="spellEnd"/>
      <w:r w:rsidRPr="009A2BD7">
        <w:rPr>
          <w:rFonts w:ascii="Arial" w:eastAsia="Times New Roman" w:hAnsi="Arial" w:cs="Arial"/>
          <w:color w:val="333333"/>
          <w:lang w:eastAsia="it-IT"/>
        </w:rPr>
        <w:t xml:space="preserve">. </w:t>
      </w:r>
      <w:r w:rsidR="00A854AA" w:rsidRPr="009A2BD7">
        <w:rPr>
          <w:rFonts w:ascii="Arial" w:eastAsia="Times New Roman" w:hAnsi="Arial" w:cs="Arial"/>
          <w:color w:val="333333"/>
          <w:lang w:eastAsia="it-IT"/>
        </w:rPr>
        <w:t>La documentazione predisposta da EFRAG sul</w:t>
      </w:r>
      <w:r w:rsidRPr="009A2BD7">
        <w:rPr>
          <w:rFonts w:ascii="Arial" w:eastAsia="Times New Roman" w:hAnsi="Arial" w:cs="Arial"/>
          <w:color w:val="333333"/>
          <w:lang w:eastAsia="it-IT"/>
        </w:rPr>
        <w:t xml:space="preserve"> tema</w:t>
      </w:r>
      <w:r w:rsidR="00A854AA" w:rsidRPr="009A2BD7">
        <w:rPr>
          <w:rFonts w:ascii="Arial" w:eastAsia="Times New Roman" w:hAnsi="Arial" w:cs="Arial"/>
          <w:color w:val="333333"/>
          <w:lang w:eastAsia="it-IT"/>
        </w:rPr>
        <w:t xml:space="preserve"> è</w:t>
      </w:r>
      <w:r w:rsidRPr="009A2BD7">
        <w:rPr>
          <w:rFonts w:ascii="Arial" w:eastAsia="Times New Roman" w:hAnsi="Arial" w:cs="Arial"/>
          <w:color w:val="333333"/>
          <w:lang w:eastAsia="it-IT"/>
        </w:rPr>
        <w:t xml:space="preserve"> organizzata in </w:t>
      </w:r>
      <w:r w:rsidRPr="009A2BD7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it-IT"/>
        </w:rPr>
        <w:t>dieci moduli</w:t>
      </w:r>
      <w:r w:rsidRPr="009A2BD7">
        <w:rPr>
          <w:rFonts w:ascii="Arial" w:eastAsia="Times New Roman" w:hAnsi="Arial" w:cs="Arial"/>
          <w:color w:val="333333"/>
          <w:lang w:eastAsia="it-IT"/>
        </w:rPr>
        <w:t>, ciascuno dei quali articolato in una presentazione sintetica e una sessione formativa, ognuna accompagnata da video esplicativi curati dai diversi componenti del Technical Expert Group sulla rendicontazione di sostenibilità di EFRAG.</w:t>
      </w:r>
    </w:p>
    <w:p w14:paraId="20D99F58" w14:textId="77777777" w:rsidR="00FE1C1C" w:rsidRPr="009A2BD7" w:rsidRDefault="00FE1C1C" w:rsidP="001072C8">
      <w:pPr>
        <w:pStyle w:val="NormaleWeb"/>
        <w:shd w:val="clear" w:color="auto" w:fill="FFFFFF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6CBD90EF" w14:textId="7D5830F4" w:rsidR="001072C8" w:rsidRPr="00AA51AF" w:rsidRDefault="00FE1C1C" w:rsidP="001072C8">
      <w:pPr>
        <w:pStyle w:val="NormaleWeb"/>
        <w:shd w:val="clear" w:color="auto" w:fill="FFFFFF"/>
        <w:jc w:val="both"/>
        <w:textAlignment w:val="baseline"/>
        <w:rPr>
          <w:rFonts w:ascii="Arial" w:eastAsia="Times New Roman" w:hAnsi="Arial" w:cs="Arial"/>
          <w:sz w:val="22"/>
          <w:szCs w:val="22"/>
          <w:lang w:eastAsia="it-IT"/>
        </w:rPr>
      </w:pPr>
      <w:r w:rsidRPr="009A2BD7">
        <w:rPr>
          <w:rFonts w:ascii="Arial" w:hAnsi="Arial" w:cs="Arial"/>
          <w:sz w:val="22"/>
          <w:szCs w:val="22"/>
          <w:shd w:val="clear" w:color="auto" w:fill="FFFFFF"/>
        </w:rPr>
        <w:t xml:space="preserve">I principi ESRS </w:t>
      </w:r>
      <w:r w:rsidRPr="009A2BD7">
        <w:rPr>
          <w:rFonts w:ascii="Arial" w:eastAsia="Times New Roman" w:hAnsi="Arial" w:cs="Arial"/>
          <w:color w:val="333333"/>
          <w:sz w:val="22"/>
          <w:szCs w:val="22"/>
          <w:lang w:eastAsia="it-IT"/>
        </w:rPr>
        <w:t>vanno</w:t>
      </w:r>
      <w:r w:rsidR="00AE0BB1" w:rsidRPr="009A2BD7">
        <w:rPr>
          <w:rFonts w:ascii="Arial" w:eastAsia="Times New Roman" w:hAnsi="Arial" w:cs="Arial"/>
          <w:color w:val="333333"/>
          <w:sz w:val="22"/>
          <w:szCs w:val="22"/>
          <w:lang w:eastAsia="it-IT"/>
        </w:rPr>
        <w:t xml:space="preserve"> nella direzione </w:t>
      </w:r>
      <w:r w:rsidR="001072C8" w:rsidRPr="009A2BD7">
        <w:rPr>
          <w:rFonts w:ascii="Arial" w:eastAsia="Times New Roman" w:hAnsi="Arial" w:cs="Arial"/>
          <w:color w:val="333333"/>
          <w:sz w:val="22"/>
          <w:szCs w:val="22"/>
          <w:lang w:eastAsia="it-IT"/>
        </w:rPr>
        <w:t xml:space="preserve">della realizzazione di un nuovo sistema di rendicontazione della sostenibilità in Europa, che vedrà le imprese interessate dalla nuova normativa impegnate a </w:t>
      </w:r>
      <w:r w:rsidR="001072C8" w:rsidRPr="00AA51AF">
        <w:rPr>
          <w:rFonts w:ascii="Arial" w:eastAsia="Times New Roman" w:hAnsi="Arial" w:cs="Arial"/>
          <w:sz w:val="22"/>
          <w:szCs w:val="22"/>
          <w:lang w:eastAsia="it-IT"/>
        </w:rPr>
        <w:t>fornire un report di sostenibilità sulle proprie strategie e modelli di business, sulla governance e sull’organizzazione, sulle valutazioni di rilevanza di impatti, rischi e opportunità legati alla sostenibilità, nonché su politiche, obiettivi, piani d’azione e performance.</w:t>
      </w:r>
    </w:p>
    <w:p w14:paraId="4C834F77" w14:textId="77777777" w:rsidR="001072C8" w:rsidRPr="00AA51AF" w:rsidRDefault="001072C8" w:rsidP="001072C8">
      <w:pPr>
        <w:pStyle w:val="NormaleWeb"/>
        <w:shd w:val="clear" w:color="auto" w:fill="FFFFFF"/>
        <w:jc w:val="both"/>
        <w:textAlignment w:val="baseline"/>
        <w:rPr>
          <w:rFonts w:ascii="Arial" w:eastAsia="Times New Roman" w:hAnsi="Arial" w:cs="Arial"/>
          <w:sz w:val="22"/>
          <w:szCs w:val="22"/>
          <w:lang w:eastAsia="it-IT"/>
        </w:rPr>
      </w:pPr>
    </w:p>
    <w:p w14:paraId="6134D4E9" w14:textId="07ACC80E" w:rsidR="00A618D3" w:rsidRPr="00AA51AF" w:rsidRDefault="00A618D3" w:rsidP="001072C8">
      <w:pPr>
        <w:shd w:val="clear" w:color="auto" w:fill="FFFFFF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AA51AF">
        <w:rPr>
          <w:rFonts w:ascii="Arial" w:eastAsia="Times New Roman" w:hAnsi="Arial" w:cs="Arial"/>
          <w:lang w:eastAsia="it-IT"/>
        </w:rPr>
        <w:t xml:space="preserve">Lo scorso novembre </w:t>
      </w:r>
      <w:r w:rsidR="001072C8" w:rsidRPr="00AA51AF">
        <w:rPr>
          <w:rFonts w:ascii="Arial" w:eastAsia="Times New Roman" w:hAnsi="Arial" w:cs="Arial"/>
          <w:lang w:eastAsia="it-IT"/>
        </w:rPr>
        <w:t>EFRAG</w:t>
      </w:r>
      <w:r w:rsidR="00A854AA" w:rsidRPr="00AA51AF">
        <w:rPr>
          <w:rFonts w:ascii="Arial" w:eastAsia="Times New Roman" w:hAnsi="Arial" w:cs="Arial"/>
          <w:lang w:eastAsia="it-IT"/>
        </w:rPr>
        <w:t>, in qualità di consulente tecnico,</w:t>
      </w:r>
      <w:r w:rsidR="001072C8" w:rsidRPr="00AA51AF">
        <w:rPr>
          <w:rFonts w:ascii="Arial" w:eastAsia="Times New Roman" w:hAnsi="Arial" w:cs="Arial"/>
          <w:lang w:eastAsia="it-IT"/>
        </w:rPr>
        <w:t xml:space="preserve"> ha sottoposto la bozza del primo set di principi ESRS all’attenzione della Commissione Europea. Il primo set di principi, che tiene conto degli input ricevuti dalla consultazione pubblica (maggio-luglio 2022) e delle revisioni finali al testo della direttiva CSRD, è composto da due </w:t>
      </w:r>
      <w:r w:rsidR="001072C8" w:rsidRPr="00AA51AF">
        <w:rPr>
          <w:rFonts w:ascii="Arial" w:eastAsia="Times New Roman" w:hAnsi="Arial" w:cs="Arial"/>
          <w:b/>
          <w:bCs/>
          <w:lang w:eastAsia="it-IT"/>
        </w:rPr>
        <w:t>principi a carattere trasversale</w:t>
      </w:r>
      <w:r w:rsidRPr="00AA51AF">
        <w:rPr>
          <w:rFonts w:ascii="Arial" w:eastAsia="Times New Roman" w:hAnsi="Arial" w:cs="Arial"/>
          <w:lang w:eastAsia="it-IT"/>
        </w:rPr>
        <w:t xml:space="preserve"> la cui validità è estesa a tutte le imprese: </w:t>
      </w:r>
      <w:r w:rsidR="001072C8" w:rsidRPr="00AA51AF">
        <w:rPr>
          <w:rFonts w:ascii="Arial" w:eastAsia="Times New Roman" w:hAnsi="Arial" w:cs="Arial"/>
          <w:b/>
          <w:bCs/>
          <w:lang w:eastAsia="it-IT"/>
        </w:rPr>
        <w:t>l’ESRS 1</w:t>
      </w:r>
      <w:r w:rsidRPr="00AA51AF">
        <w:rPr>
          <w:rFonts w:ascii="Arial" w:eastAsia="Times New Roman" w:hAnsi="Arial" w:cs="Arial"/>
          <w:lang w:eastAsia="it-IT"/>
        </w:rPr>
        <w:t xml:space="preserve">, </w:t>
      </w:r>
      <w:r w:rsidR="001072C8" w:rsidRPr="00AA51AF">
        <w:rPr>
          <w:rFonts w:ascii="Arial" w:eastAsia="Times New Roman" w:hAnsi="Arial" w:cs="Arial"/>
          <w:lang w:eastAsia="it-IT"/>
        </w:rPr>
        <w:t>che include requisiti generali applicabili a prescindere dall’argomento</w:t>
      </w:r>
      <w:r w:rsidRPr="00AA51AF">
        <w:rPr>
          <w:rFonts w:ascii="Arial" w:eastAsia="Times New Roman" w:hAnsi="Arial" w:cs="Arial"/>
          <w:lang w:eastAsia="it-IT"/>
        </w:rPr>
        <w:t xml:space="preserve">, </w:t>
      </w:r>
      <w:r w:rsidR="001072C8" w:rsidRPr="00AA51AF">
        <w:rPr>
          <w:rFonts w:ascii="Arial" w:eastAsia="Times New Roman" w:hAnsi="Arial" w:cs="Arial"/>
          <w:lang w:eastAsia="it-IT"/>
        </w:rPr>
        <w:t xml:space="preserve">e </w:t>
      </w:r>
      <w:r w:rsidR="001072C8" w:rsidRPr="00AA51AF">
        <w:rPr>
          <w:rFonts w:ascii="Arial" w:eastAsia="Times New Roman" w:hAnsi="Arial" w:cs="Arial"/>
          <w:b/>
          <w:bCs/>
          <w:lang w:eastAsia="it-IT"/>
        </w:rPr>
        <w:t>l’ESRS 2</w:t>
      </w:r>
      <w:r w:rsidRPr="00AA51AF">
        <w:rPr>
          <w:rFonts w:ascii="Arial" w:eastAsia="Times New Roman" w:hAnsi="Arial" w:cs="Arial"/>
          <w:lang w:eastAsia="it-IT"/>
        </w:rPr>
        <w:t>,</w:t>
      </w:r>
      <w:r w:rsidR="001072C8" w:rsidRPr="00AA51AF">
        <w:rPr>
          <w:rFonts w:ascii="Arial" w:eastAsia="Times New Roman" w:hAnsi="Arial" w:cs="Arial"/>
          <w:lang w:eastAsia="it-IT"/>
        </w:rPr>
        <w:t xml:space="preserve"> che contiene le informazioni generali da comunicare e si applica anch</w:t>
      </w:r>
      <w:r w:rsidRPr="00AA51AF">
        <w:rPr>
          <w:rFonts w:ascii="Arial" w:eastAsia="Times New Roman" w:hAnsi="Arial" w:cs="Arial"/>
          <w:lang w:eastAsia="it-IT"/>
        </w:rPr>
        <w:t>’esso</w:t>
      </w:r>
      <w:r w:rsidR="001072C8" w:rsidRPr="00AA51AF">
        <w:rPr>
          <w:rFonts w:ascii="Arial" w:eastAsia="Times New Roman" w:hAnsi="Arial" w:cs="Arial"/>
          <w:lang w:eastAsia="it-IT"/>
        </w:rPr>
        <w:t xml:space="preserve"> questo a prescindere dall’argomento. </w:t>
      </w:r>
    </w:p>
    <w:p w14:paraId="11D7EB7D" w14:textId="77777777" w:rsidR="00A618D3" w:rsidRPr="00AA51AF" w:rsidRDefault="00A618D3" w:rsidP="001072C8">
      <w:pPr>
        <w:shd w:val="clear" w:color="auto" w:fill="FFFFFF"/>
        <w:jc w:val="both"/>
        <w:textAlignment w:val="baseline"/>
        <w:rPr>
          <w:rFonts w:ascii="Arial" w:eastAsia="Times New Roman" w:hAnsi="Arial" w:cs="Arial"/>
          <w:lang w:eastAsia="it-IT"/>
        </w:rPr>
      </w:pPr>
    </w:p>
    <w:p w14:paraId="3F6E1424" w14:textId="7CAEBB8F" w:rsidR="001072C8" w:rsidRPr="00AA51AF" w:rsidRDefault="001072C8" w:rsidP="001072C8">
      <w:pPr>
        <w:shd w:val="clear" w:color="auto" w:fill="FFFFFF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AA51AF">
        <w:rPr>
          <w:rFonts w:ascii="Arial" w:eastAsia="Times New Roman" w:hAnsi="Arial" w:cs="Arial"/>
          <w:lang w:eastAsia="it-IT"/>
        </w:rPr>
        <w:t xml:space="preserve">Ci sono poi i </w:t>
      </w:r>
      <w:r w:rsidRPr="00AA51AF">
        <w:rPr>
          <w:rFonts w:ascii="Arial" w:eastAsia="Times New Roman" w:hAnsi="Arial" w:cs="Arial"/>
          <w:b/>
          <w:bCs/>
          <w:lang w:eastAsia="it-IT"/>
        </w:rPr>
        <w:t>principi tematici</w:t>
      </w:r>
      <w:r w:rsidRPr="00AA51AF">
        <w:rPr>
          <w:rFonts w:ascii="Arial" w:eastAsia="Times New Roman" w:hAnsi="Arial" w:cs="Arial"/>
          <w:lang w:eastAsia="it-IT"/>
        </w:rPr>
        <w:t>, che trattano in maniera più approfondita specifici argomenti. Cinque principi ambientali che si occupano in particolare di cambiamenti climatici, inquinamento, risorse idriche e marine, biodiversità ed ecosistemi, utilizzo delle risorse ed economia circolare. Quattro principi su tematiche sociali: forza lavoro propria, lavoratori nella catena del valore, consumatori e utilizzatori finali, comunità interessate. E infine un principio unico sulla governance: condotta aziendale.</w:t>
      </w:r>
    </w:p>
    <w:p w14:paraId="3206C5B5" w14:textId="77777777" w:rsidR="00A618D3" w:rsidRPr="00AA51AF" w:rsidRDefault="00A618D3" w:rsidP="00A618D3">
      <w:pPr>
        <w:shd w:val="clear" w:color="auto" w:fill="FFFFFF"/>
        <w:jc w:val="both"/>
        <w:textAlignment w:val="baseline"/>
        <w:rPr>
          <w:rFonts w:ascii="Arial" w:eastAsia="Times New Roman" w:hAnsi="Arial" w:cs="Arial"/>
          <w:lang w:eastAsia="it-IT"/>
        </w:rPr>
      </w:pPr>
    </w:p>
    <w:p w14:paraId="7947513D" w14:textId="3C78A2C3" w:rsidR="00A618D3" w:rsidRPr="00AA51AF" w:rsidRDefault="00A618D3" w:rsidP="001072C8">
      <w:pPr>
        <w:shd w:val="clear" w:color="auto" w:fill="FFFFFF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AA51AF">
        <w:rPr>
          <w:rFonts w:ascii="Arial" w:eastAsia="Times New Roman" w:hAnsi="Arial" w:cs="Arial"/>
          <w:lang w:eastAsia="it-IT"/>
        </w:rPr>
        <w:t>I successivi moduli saranno disponibili a breve sul sito del Consiglio nazionale.</w:t>
      </w:r>
    </w:p>
    <w:p w14:paraId="21BA11E2" w14:textId="77777777" w:rsidR="009A2BD7" w:rsidRPr="00AA51AF" w:rsidRDefault="009A2BD7" w:rsidP="001072C8">
      <w:pPr>
        <w:shd w:val="clear" w:color="auto" w:fill="FFFFFF"/>
        <w:jc w:val="both"/>
        <w:textAlignment w:val="baseline"/>
        <w:rPr>
          <w:rFonts w:ascii="Arial" w:eastAsia="Times New Roman" w:hAnsi="Arial" w:cs="Arial"/>
          <w:lang w:eastAsia="it-IT"/>
        </w:rPr>
      </w:pPr>
    </w:p>
    <w:p w14:paraId="2114B3CB" w14:textId="39632423" w:rsidR="009A2BD7" w:rsidRPr="00AA51AF" w:rsidRDefault="009A2BD7" w:rsidP="001072C8">
      <w:pPr>
        <w:shd w:val="clear" w:color="auto" w:fill="FFFFFF"/>
        <w:jc w:val="both"/>
        <w:textAlignment w:val="baseline"/>
        <w:rPr>
          <w:rFonts w:ascii="Arial" w:hAnsi="Arial" w:cs="Arial"/>
          <w:shd w:val="clear" w:color="auto" w:fill="FFFFFF"/>
        </w:rPr>
      </w:pPr>
      <w:r w:rsidRPr="00AA51AF">
        <w:rPr>
          <w:rFonts w:ascii="Arial" w:hAnsi="Arial" w:cs="Arial"/>
          <w:shd w:val="clear" w:color="auto" w:fill="FFFFFF"/>
        </w:rPr>
        <w:t>Per completezza di informazione si precisa che il materiale di presentazione riflette le bozze dei principi ESRS di novembre 2022 elaborati da EFRAG, e non anche gli aggiornamenti interventi a seguito della </w:t>
      </w:r>
      <w:hyperlink r:id="rId8" w:tgtFrame="_blank" w:history="1">
        <w:r w:rsidRPr="009A2BD7">
          <w:rPr>
            <w:rFonts w:ascii="Arial" w:hAnsi="Arial" w:cs="Arial"/>
            <w:color w:val="F7323F"/>
            <w:u w:val="single"/>
            <w:bdr w:val="none" w:sz="0" w:space="0" w:color="auto" w:frame="1"/>
            <w:shd w:val="clear" w:color="auto" w:fill="FFFFFF"/>
          </w:rPr>
          <w:t>consultazione pubblica</w:t>
        </w:r>
      </w:hyperlink>
      <w:r w:rsidRPr="009A2BD7">
        <w:rPr>
          <w:rFonts w:ascii="Arial" w:hAnsi="Arial" w:cs="Arial"/>
          <w:color w:val="333333"/>
          <w:shd w:val="clear" w:color="auto" w:fill="FFFFFF"/>
        </w:rPr>
        <w:t> </w:t>
      </w:r>
      <w:r w:rsidRPr="00AA51AF">
        <w:rPr>
          <w:rFonts w:ascii="Arial" w:hAnsi="Arial" w:cs="Arial"/>
          <w:shd w:val="clear" w:color="auto" w:fill="FFFFFF"/>
        </w:rPr>
        <w:t>avviata dalla Commissione europea a giugno 2023.</w:t>
      </w:r>
    </w:p>
    <w:p w14:paraId="1E5BBBE8" w14:textId="77777777" w:rsidR="009A2BD7" w:rsidRPr="00AA51AF" w:rsidRDefault="009A2BD7" w:rsidP="001072C8">
      <w:pPr>
        <w:shd w:val="clear" w:color="auto" w:fill="FFFFFF"/>
        <w:jc w:val="both"/>
        <w:textAlignment w:val="baseline"/>
        <w:rPr>
          <w:rFonts w:ascii="Arial" w:hAnsi="Arial" w:cs="Arial"/>
          <w:shd w:val="clear" w:color="auto" w:fill="FFFFFF"/>
        </w:rPr>
      </w:pPr>
    </w:p>
    <w:p w14:paraId="1BD92A22" w14:textId="3AF66AA3" w:rsidR="009A2BD7" w:rsidRPr="009A2BD7" w:rsidRDefault="009A2BD7" w:rsidP="001072C8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333333"/>
          <w:lang w:eastAsia="it-IT"/>
        </w:rPr>
      </w:pPr>
      <w:r w:rsidRPr="00AA51AF">
        <w:rPr>
          <w:rFonts w:ascii="Arial" w:hAnsi="Arial" w:cs="Arial"/>
          <w:shd w:val="clear" w:color="auto" w:fill="FFFFFF"/>
        </w:rPr>
        <w:t>Sul sito EFRAG al seguente </w:t>
      </w:r>
      <w:hyperlink r:id="rId9" w:tgtFrame="_blank" w:history="1">
        <w:r w:rsidRPr="009A2BD7">
          <w:rPr>
            <w:rFonts w:ascii="Arial" w:hAnsi="Arial" w:cs="Arial"/>
            <w:color w:val="F7323F"/>
            <w:u w:val="single"/>
            <w:bdr w:val="none" w:sz="0" w:space="0" w:color="auto" w:frame="1"/>
            <w:shd w:val="clear" w:color="auto" w:fill="FFFFFF"/>
          </w:rPr>
          <w:t>link</w:t>
        </w:r>
      </w:hyperlink>
      <w:r w:rsidRPr="009A2BD7">
        <w:rPr>
          <w:rFonts w:ascii="Arial" w:hAnsi="Arial" w:cs="Arial"/>
          <w:color w:val="333333"/>
          <w:shd w:val="clear" w:color="auto" w:fill="FFFFFF"/>
        </w:rPr>
        <w:t> </w:t>
      </w:r>
      <w:r w:rsidRPr="00AA51AF">
        <w:rPr>
          <w:rFonts w:ascii="Arial" w:hAnsi="Arial" w:cs="Arial"/>
          <w:shd w:val="clear" w:color="auto" w:fill="FFFFFF"/>
        </w:rPr>
        <w:t>è possibile consultare le slides che illustrano le principali modifiche intervenute.</w:t>
      </w:r>
    </w:p>
    <w:sectPr w:rsidR="009A2BD7" w:rsidRPr="009A2BD7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27048" w14:textId="77777777" w:rsidR="0064245E" w:rsidRDefault="0064245E" w:rsidP="00A25D50">
      <w:r>
        <w:separator/>
      </w:r>
    </w:p>
  </w:endnote>
  <w:endnote w:type="continuationSeparator" w:id="0">
    <w:p w14:paraId="24071AAD" w14:textId="77777777" w:rsidR="0064245E" w:rsidRDefault="0064245E" w:rsidP="00A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DBA0C" w14:textId="77777777" w:rsidR="0064245E" w:rsidRDefault="0064245E" w:rsidP="00A25D50">
      <w:r>
        <w:separator/>
      </w:r>
    </w:p>
  </w:footnote>
  <w:footnote w:type="continuationSeparator" w:id="0">
    <w:p w14:paraId="7B26F8C9" w14:textId="77777777" w:rsidR="0064245E" w:rsidRDefault="0064245E" w:rsidP="00A2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FB10" w14:textId="776E30DD" w:rsidR="0078332C" w:rsidRPr="005816F1" w:rsidRDefault="004E3EC6" w:rsidP="004E3EC6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595580B3" wp14:editId="284DCDD6">
          <wp:extent cx="2926080" cy="993913"/>
          <wp:effectExtent l="0" t="0" r="0" b="0"/>
          <wp:docPr id="2112599317" name="Immagine 2112599317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130" cy="99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A39F4"/>
    <w:multiLevelType w:val="hybridMultilevel"/>
    <w:tmpl w:val="F2683F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2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50"/>
    <w:rsid w:val="00012E93"/>
    <w:rsid w:val="00027BE3"/>
    <w:rsid w:val="00041437"/>
    <w:rsid w:val="00055C12"/>
    <w:rsid w:val="00080E29"/>
    <w:rsid w:val="0009108B"/>
    <w:rsid w:val="000A3C95"/>
    <w:rsid w:val="000B23B8"/>
    <w:rsid w:val="000C4581"/>
    <w:rsid w:val="000F1CA8"/>
    <w:rsid w:val="001072C8"/>
    <w:rsid w:val="00136CF7"/>
    <w:rsid w:val="001447D0"/>
    <w:rsid w:val="00164C51"/>
    <w:rsid w:val="0018410F"/>
    <w:rsid w:val="001C4D6B"/>
    <w:rsid w:val="001D3F66"/>
    <w:rsid w:val="001E0307"/>
    <w:rsid w:val="001E2682"/>
    <w:rsid w:val="001E4EF0"/>
    <w:rsid w:val="001F21E4"/>
    <w:rsid w:val="001F399E"/>
    <w:rsid w:val="0020469F"/>
    <w:rsid w:val="00204F62"/>
    <w:rsid w:val="00216437"/>
    <w:rsid w:val="0023378D"/>
    <w:rsid w:val="00237EC9"/>
    <w:rsid w:val="00243892"/>
    <w:rsid w:val="00243F31"/>
    <w:rsid w:val="00267E62"/>
    <w:rsid w:val="00277377"/>
    <w:rsid w:val="002A143A"/>
    <w:rsid w:val="002A46B8"/>
    <w:rsid w:val="002A74FE"/>
    <w:rsid w:val="002B687E"/>
    <w:rsid w:val="003002C5"/>
    <w:rsid w:val="00333A0F"/>
    <w:rsid w:val="0034189F"/>
    <w:rsid w:val="00347274"/>
    <w:rsid w:val="00356418"/>
    <w:rsid w:val="00365441"/>
    <w:rsid w:val="003771AB"/>
    <w:rsid w:val="00382DCB"/>
    <w:rsid w:val="00394F50"/>
    <w:rsid w:val="003A2DAE"/>
    <w:rsid w:val="003A52D9"/>
    <w:rsid w:val="003A73E6"/>
    <w:rsid w:val="003E3AB2"/>
    <w:rsid w:val="003F296E"/>
    <w:rsid w:val="004328C7"/>
    <w:rsid w:val="00446E08"/>
    <w:rsid w:val="00463C7D"/>
    <w:rsid w:val="004C59E2"/>
    <w:rsid w:val="004E34CF"/>
    <w:rsid w:val="004E3EC6"/>
    <w:rsid w:val="004F0506"/>
    <w:rsid w:val="004F6EF6"/>
    <w:rsid w:val="0050036C"/>
    <w:rsid w:val="00503FF5"/>
    <w:rsid w:val="005135B9"/>
    <w:rsid w:val="00513CFB"/>
    <w:rsid w:val="0053620E"/>
    <w:rsid w:val="00537AF6"/>
    <w:rsid w:val="005409C2"/>
    <w:rsid w:val="00544C5E"/>
    <w:rsid w:val="005503BE"/>
    <w:rsid w:val="00561CB7"/>
    <w:rsid w:val="006150FC"/>
    <w:rsid w:val="0064245E"/>
    <w:rsid w:val="00685BF9"/>
    <w:rsid w:val="006B0A61"/>
    <w:rsid w:val="006B282B"/>
    <w:rsid w:val="006B5515"/>
    <w:rsid w:val="006C090E"/>
    <w:rsid w:val="006C4593"/>
    <w:rsid w:val="00713B57"/>
    <w:rsid w:val="00733833"/>
    <w:rsid w:val="00740F1F"/>
    <w:rsid w:val="007410F9"/>
    <w:rsid w:val="007451A9"/>
    <w:rsid w:val="00763CE4"/>
    <w:rsid w:val="00772CD8"/>
    <w:rsid w:val="00777FC6"/>
    <w:rsid w:val="007840AA"/>
    <w:rsid w:val="007C2A85"/>
    <w:rsid w:val="0080228B"/>
    <w:rsid w:val="00803B21"/>
    <w:rsid w:val="00883612"/>
    <w:rsid w:val="00895B38"/>
    <w:rsid w:val="008B3982"/>
    <w:rsid w:val="008E140C"/>
    <w:rsid w:val="008E55E3"/>
    <w:rsid w:val="008F01F8"/>
    <w:rsid w:val="008F69B1"/>
    <w:rsid w:val="00901181"/>
    <w:rsid w:val="00904442"/>
    <w:rsid w:val="009679A1"/>
    <w:rsid w:val="009726DC"/>
    <w:rsid w:val="009A2BD7"/>
    <w:rsid w:val="009B6359"/>
    <w:rsid w:val="009D18CC"/>
    <w:rsid w:val="009D2456"/>
    <w:rsid w:val="00A2361E"/>
    <w:rsid w:val="00A23A10"/>
    <w:rsid w:val="00A25D50"/>
    <w:rsid w:val="00A36955"/>
    <w:rsid w:val="00A41325"/>
    <w:rsid w:val="00A618D3"/>
    <w:rsid w:val="00A74AA6"/>
    <w:rsid w:val="00A854AA"/>
    <w:rsid w:val="00AA51AF"/>
    <w:rsid w:val="00AE049F"/>
    <w:rsid w:val="00AE0BB1"/>
    <w:rsid w:val="00AE2F64"/>
    <w:rsid w:val="00AE2FF1"/>
    <w:rsid w:val="00B154FD"/>
    <w:rsid w:val="00B2654F"/>
    <w:rsid w:val="00B623C7"/>
    <w:rsid w:val="00BA19DE"/>
    <w:rsid w:val="00BB3259"/>
    <w:rsid w:val="00BC0331"/>
    <w:rsid w:val="00BE5CB4"/>
    <w:rsid w:val="00C04C6A"/>
    <w:rsid w:val="00C17FC9"/>
    <w:rsid w:val="00C20913"/>
    <w:rsid w:val="00C25278"/>
    <w:rsid w:val="00C3730F"/>
    <w:rsid w:val="00C82382"/>
    <w:rsid w:val="00C84922"/>
    <w:rsid w:val="00C87780"/>
    <w:rsid w:val="00CC6E36"/>
    <w:rsid w:val="00D31EDC"/>
    <w:rsid w:val="00D626C3"/>
    <w:rsid w:val="00D742E0"/>
    <w:rsid w:val="00D8383C"/>
    <w:rsid w:val="00D86F1A"/>
    <w:rsid w:val="00DA0ED2"/>
    <w:rsid w:val="00DB0771"/>
    <w:rsid w:val="00DC6813"/>
    <w:rsid w:val="00DE7244"/>
    <w:rsid w:val="00E4100D"/>
    <w:rsid w:val="00E80398"/>
    <w:rsid w:val="00EC1A2D"/>
    <w:rsid w:val="00ED55FF"/>
    <w:rsid w:val="00EE2F69"/>
    <w:rsid w:val="00F011E8"/>
    <w:rsid w:val="00F21C61"/>
    <w:rsid w:val="00F45169"/>
    <w:rsid w:val="00F53C83"/>
    <w:rsid w:val="00F54D2A"/>
    <w:rsid w:val="00F5789E"/>
    <w:rsid w:val="00F70F2A"/>
    <w:rsid w:val="00F910CC"/>
    <w:rsid w:val="00FB1FE4"/>
    <w:rsid w:val="00FC23F6"/>
    <w:rsid w:val="00FD6D4F"/>
    <w:rsid w:val="00FE1C1C"/>
    <w:rsid w:val="00FF285E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E1A2"/>
  <w15:chartTrackingRefBased/>
  <w15:docId w15:val="{03E05602-4E5F-455C-8628-F8F6CFBB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D50"/>
    <w:pPr>
      <w:spacing w:after="0" w:line="240" w:lineRule="auto"/>
    </w:pPr>
  </w:style>
  <w:style w:type="paragraph" w:styleId="Titolo1">
    <w:name w:val="heading 1"/>
    <w:basedOn w:val="Normale"/>
    <w:link w:val="Titolo1Carattere"/>
    <w:uiPriority w:val="9"/>
    <w:qFormat/>
    <w:rsid w:val="001E268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D50"/>
  </w:style>
  <w:style w:type="paragraph" w:styleId="Pidipagina">
    <w:name w:val="footer"/>
    <w:basedOn w:val="Normale"/>
    <w:link w:val="Pidipagina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D50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A25D50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A25D50"/>
    <w:rPr>
      <w:rFonts w:eastAsiaTheme="minorEastAsia"/>
      <w:lang w:eastAsia="it-IT"/>
    </w:rPr>
  </w:style>
  <w:style w:type="paragraph" w:customStyle="1" w:styleId="cpv">
    <w:name w:val="cpv"/>
    <w:uiPriority w:val="99"/>
    <w:rsid w:val="00A25D50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5D5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5D5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5D5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B39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39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39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39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398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D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D8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3E3AB2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447D0"/>
    <w:pPr>
      <w:ind w:left="720"/>
      <w:contextualSpacing/>
    </w:pPr>
  </w:style>
  <w:style w:type="paragraph" w:customStyle="1" w:styleId="Default">
    <w:name w:val="Default"/>
    <w:rsid w:val="004F050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F3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F399E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1F399E"/>
  </w:style>
  <w:style w:type="character" w:customStyle="1" w:styleId="Titolo1Carattere">
    <w:name w:val="Titolo 1 Carattere"/>
    <w:basedOn w:val="Carpredefinitoparagrafo"/>
    <w:link w:val="Titolo1"/>
    <w:uiPriority w:val="9"/>
    <w:rsid w:val="001E268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BC0331"/>
    <w:rPr>
      <w:b/>
      <w:bCs/>
    </w:rPr>
  </w:style>
  <w:style w:type="paragraph" w:customStyle="1" w:styleId="TitoloDocumento">
    <w:name w:val="Titolo Documento"/>
    <w:basedOn w:val="Normale"/>
    <w:qFormat/>
    <w:rsid w:val="00C04C6A"/>
    <w:pPr>
      <w:autoSpaceDE w:val="0"/>
      <w:autoSpaceDN w:val="0"/>
      <w:adjustRightInd w:val="0"/>
      <w:jc w:val="both"/>
    </w:pPr>
    <w:rPr>
      <w:rFonts w:ascii="Calibri" w:eastAsia="Calibri" w:hAnsi="Calibri" w:cs="Calibri"/>
      <w:b/>
      <w:smallCaps/>
      <w:color w:val="FFFFFF" w:themeColor="background1"/>
      <w:sz w:val="72"/>
      <w:szCs w:val="72"/>
    </w:rPr>
  </w:style>
  <w:style w:type="paragraph" w:styleId="NormaleWeb">
    <w:name w:val="Normal (Web)"/>
    <w:basedOn w:val="Normale"/>
    <w:uiPriority w:val="99"/>
    <w:semiHidden/>
    <w:unhideWhenUsed/>
    <w:rsid w:val="001072C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law/better-regulation/have-your-say/initiatives/13765-European-sustainability-reporting-standards-first-set_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mmercialisti.it/sviluppo-sostenibile-reporting-consulenza-formazion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frag.org/Assets/Download?assetUrl=%2Fsites%2Fwebpublishing%2FMeeting%20Documents%2F2302241014027635%2FESRS%20-%20presentation%20to%20SRB%2014%20Jun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14</cp:revision>
  <cp:lastPrinted>2023-07-12T09:47:00Z</cp:lastPrinted>
  <dcterms:created xsi:type="dcterms:W3CDTF">2023-07-13T07:58:00Z</dcterms:created>
  <dcterms:modified xsi:type="dcterms:W3CDTF">2023-07-17T08:47:00Z</dcterms:modified>
</cp:coreProperties>
</file>