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6618" w14:textId="5600CC56" w:rsidR="000A7459" w:rsidRPr="000A7459" w:rsidRDefault="000A7459" w:rsidP="000A7459">
      <w:pPr>
        <w:jc w:val="center"/>
        <w:rPr>
          <w:rFonts w:ascii="Aptos" w:eastAsia="Times New Roman" w:hAnsi="Aptos" w:cs="Aptos"/>
          <w:sz w:val="23"/>
          <w:szCs w:val="23"/>
        </w:rPr>
      </w:pPr>
      <w:r w:rsidRPr="000A7459">
        <w:rPr>
          <w:rFonts w:ascii="Arial" w:eastAsia="Times New Roman" w:hAnsi="Arial" w:cs="Arial"/>
          <w:b/>
          <w:bCs/>
          <w:color w:val="000000"/>
          <w:sz w:val="23"/>
          <w:szCs w:val="23"/>
          <w:u w:val="single"/>
        </w:rPr>
        <w:t>Comunicato stampa</w:t>
      </w:r>
    </w:p>
    <w:p w14:paraId="3B2669EE" w14:textId="77ABF301" w:rsidR="000A7459" w:rsidRPr="000A7459" w:rsidRDefault="000A7459" w:rsidP="000A7459">
      <w:pPr>
        <w:pStyle w:val="NormaleWeb"/>
        <w:shd w:val="clear" w:color="auto" w:fill="FFFFFF"/>
        <w:spacing w:before="0" w:beforeAutospacing="0" w:after="0" w:afterAutospacing="0"/>
        <w:jc w:val="center"/>
        <w:rPr>
          <w:rFonts w:eastAsiaTheme="minorHAnsi"/>
          <w:sz w:val="23"/>
          <w:szCs w:val="23"/>
        </w:rPr>
      </w:pPr>
    </w:p>
    <w:p w14:paraId="4BBAA6AD" w14:textId="77777777" w:rsidR="000A7459" w:rsidRPr="000A7459" w:rsidRDefault="000A7459" w:rsidP="000A7459">
      <w:pPr>
        <w:pStyle w:val="NormaleWeb"/>
        <w:spacing w:before="0" w:beforeAutospacing="0" w:after="0" w:afterAutospacing="0"/>
        <w:jc w:val="center"/>
        <w:rPr>
          <w:sz w:val="23"/>
          <w:szCs w:val="23"/>
        </w:rPr>
      </w:pPr>
      <w:r w:rsidRPr="000A7459">
        <w:rPr>
          <w:rFonts w:ascii="Arial" w:hAnsi="Arial" w:cs="Arial"/>
          <w:b/>
          <w:bCs/>
          <w:color w:val="000000"/>
          <w:sz w:val="23"/>
          <w:szCs w:val="23"/>
        </w:rPr>
        <w:t>COMMERCIALISTI: “NEL DDL LAVORO CRITICITÀ EVIDENTI SULLE DIMISSIONI VOLONTARIE”</w:t>
      </w:r>
    </w:p>
    <w:p w14:paraId="5299252C"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color w:val="000000"/>
          <w:sz w:val="23"/>
          <w:szCs w:val="23"/>
        </w:rPr>
        <w:t> </w:t>
      </w:r>
    </w:p>
    <w:p w14:paraId="5833D928" w14:textId="77777777" w:rsidR="000A7459" w:rsidRPr="000A7459" w:rsidRDefault="000A7459" w:rsidP="000A7459">
      <w:pPr>
        <w:pStyle w:val="NormaleWeb"/>
        <w:spacing w:before="0" w:beforeAutospacing="0" w:after="0" w:afterAutospacing="0"/>
        <w:jc w:val="center"/>
        <w:rPr>
          <w:sz w:val="23"/>
          <w:szCs w:val="23"/>
        </w:rPr>
      </w:pPr>
      <w:r w:rsidRPr="000A7459">
        <w:rPr>
          <w:rFonts w:ascii="Arial" w:hAnsi="Arial" w:cs="Arial"/>
          <w:b/>
          <w:bCs/>
          <w:color w:val="000000"/>
          <w:sz w:val="23"/>
          <w:szCs w:val="23"/>
        </w:rPr>
        <w:t>La categoria in audizione parlamentare chiede l’abilitazione alla proceduta telematica per rimediare alla grave disparità di trattamento tra categorie professionali. Chiesta anche l’eliminazione dell’emendamento che permette di ricorrere senza limiti alla somministrazione dei lavoratori</w:t>
      </w:r>
    </w:p>
    <w:p w14:paraId="581EBB02"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color w:val="000000"/>
          <w:sz w:val="23"/>
          <w:szCs w:val="23"/>
        </w:rPr>
        <w:t> </w:t>
      </w:r>
    </w:p>
    <w:p w14:paraId="2DF90FA6"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i/>
          <w:iCs/>
          <w:color w:val="000000"/>
          <w:sz w:val="23"/>
          <w:szCs w:val="23"/>
        </w:rPr>
        <w:t>Roma, 13 febbraio 2024 –</w:t>
      </w:r>
      <w:r w:rsidRPr="000A7459">
        <w:rPr>
          <w:rFonts w:ascii="Arial" w:hAnsi="Arial" w:cs="Arial"/>
          <w:color w:val="000000"/>
          <w:sz w:val="23"/>
          <w:szCs w:val="23"/>
        </w:rPr>
        <w:t xml:space="preserve"> “Giusta l’introduzione di </w:t>
      </w:r>
      <w:r w:rsidRPr="000A7459">
        <w:rPr>
          <w:rFonts w:ascii="Arial" w:hAnsi="Arial" w:cs="Arial"/>
          <w:b/>
          <w:bCs/>
          <w:color w:val="000000"/>
          <w:sz w:val="23"/>
          <w:szCs w:val="23"/>
        </w:rPr>
        <w:t>contromisure correttive</w:t>
      </w:r>
      <w:r w:rsidRPr="000A7459">
        <w:rPr>
          <w:rFonts w:ascii="Arial" w:hAnsi="Arial" w:cs="Arial"/>
          <w:color w:val="000000"/>
          <w:sz w:val="23"/>
          <w:szCs w:val="23"/>
        </w:rPr>
        <w:t> finalizzate a rendere nuovamente ammissibili le dimissioni per “</w:t>
      </w:r>
      <w:r w:rsidRPr="000A7459">
        <w:rPr>
          <w:rFonts w:ascii="Arial" w:hAnsi="Arial" w:cs="Arial"/>
          <w:b/>
          <w:bCs/>
          <w:color w:val="000000"/>
          <w:sz w:val="23"/>
          <w:szCs w:val="23"/>
        </w:rPr>
        <w:t>fatti concludenti</w:t>
      </w:r>
      <w:r w:rsidRPr="000A7459">
        <w:rPr>
          <w:rFonts w:ascii="Arial" w:hAnsi="Arial" w:cs="Arial"/>
          <w:color w:val="000000"/>
          <w:sz w:val="23"/>
          <w:szCs w:val="23"/>
        </w:rPr>
        <w:t>” al fine di contrastare la cattiva pratica dell’</w:t>
      </w:r>
      <w:r w:rsidRPr="000A7459">
        <w:rPr>
          <w:rFonts w:ascii="Arial" w:hAnsi="Arial" w:cs="Arial"/>
          <w:b/>
          <w:bCs/>
          <w:color w:val="000000"/>
          <w:sz w:val="23"/>
          <w:szCs w:val="23"/>
        </w:rPr>
        <w:t xml:space="preserve">assenteismo programmato </w:t>
      </w:r>
      <w:r w:rsidRPr="000A7459">
        <w:rPr>
          <w:rFonts w:ascii="Arial" w:hAnsi="Arial" w:cs="Arial"/>
          <w:color w:val="000000"/>
          <w:sz w:val="23"/>
          <w:szCs w:val="23"/>
        </w:rPr>
        <w:t xml:space="preserve">per ottenere il </w:t>
      </w:r>
      <w:r w:rsidRPr="000A7459">
        <w:rPr>
          <w:rFonts w:ascii="Arial" w:hAnsi="Arial" w:cs="Arial"/>
          <w:b/>
          <w:bCs/>
          <w:color w:val="000000"/>
          <w:sz w:val="23"/>
          <w:szCs w:val="23"/>
        </w:rPr>
        <w:t>licenziamento</w:t>
      </w:r>
      <w:r w:rsidRPr="000A7459">
        <w:rPr>
          <w:rFonts w:ascii="Arial" w:hAnsi="Arial" w:cs="Arial"/>
          <w:color w:val="000000"/>
          <w:sz w:val="23"/>
          <w:szCs w:val="23"/>
        </w:rPr>
        <w:t xml:space="preserve"> dal proprio datore di lavoro e, conseguentemente, il trattamento </w:t>
      </w:r>
      <w:r w:rsidRPr="000A7459">
        <w:rPr>
          <w:rFonts w:ascii="Arial" w:hAnsi="Arial" w:cs="Arial"/>
          <w:b/>
          <w:bCs/>
          <w:color w:val="000000"/>
          <w:sz w:val="23"/>
          <w:szCs w:val="23"/>
        </w:rPr>
        <w:t>NASPI.</w:t>
      </w:r>
      <w:r w:rsidRPr="000A7459">
        <w:rPr>
          <w:rFonts w:ascii="Arial" w:hAnsi="Arial" w:cs="Arial"/>
          <w:color w:val="000000"/>
          <w:sz w:val="23"/>
          <w:szCs w:val="23"/>
        </w:rPr>
        <w:t xml:space="preserve"> Ma, pur apprezzando l’intenzione dell’intervento, la formulazione </w:t>
      </w:r>
      <w:r w:rsidRPr="000A7459">
        <w:rPr>
          <w:rFonts w:ascii="Arial" w:hAnsi="Arial" w:cs="Arial"/>
          <w:b/>
          <w:bCs/>
          <w:color w:val="000000"/>
          <w:sz w:val="23"/>
          <w:szCs w:val="23"/>
        </w:rPr>
        <w:t>dell’art. 9 del DDL</w:t>
      </w:r>
      <w:r w:rsidRPr="000A7459">
        <w:rPr>
          <w:rFonts w:ascii="Arial" w:hAnsi="Arial" w:cs="Arial"/>
          <w:color w:val="000000"/>
          <w:sz w:val="23"/>
          <w:szCs w:val="23"/>
        </w:rPr>
        <w:t xml:space="preserve"> mostra </w:t>
      </w:r>
      <w:r w:rsidRPr="000A7459">
        <w:rPr>
          <w:rFonts w:ascii="Arial" w:hAnsi="Arial" w:cs="Arial"/>
          <w:b/>
          <w:bCs/>
          <w:color w:val="000000"/>
          <w:sz w:val="23"/>
          <w:szCs w:val="23"/>
        </w:rPr>
        <w:t>criticità evidenti</w:t>
      </w:r>
      <w:r w:rsidRPr="000A7459">
        <w:rPr>
          <w:rFonts w:ascii="Arial" w:hAnsi="Arial" w:cs="Arial"/>
          <w:color w:val="000000"/>
          <w:sz w:val="23"/>
          <w:szCs w:val="23"/>
        </w:rPr>
        <w:t xml:space="preserve"> circa la scelta degli elementi integranti la nuova fattispecie di </w:t>
      </w:r>
      <w:r w:rsidRPr="000A7459">
        <w:rPr>
          <w:rFonts w:ascii="Arial" w:hAnsi="Arial" w:cs="Arial"/>
          <w:b/>
          <w:bCs/>
          <w:color w:val="000000"/>
          <w:sz w:val="23"/>
          <w:szCs w:val="23"/>
        </w:rPr>
        <w:t>dimissioni volontarie</w:t>
      </w:r>
      <w:r w:rsidRPr="000A7459">
        <w:rPr>
          <w:rFonts w:ascii="Arial" w:hAnsi="Arial" w:cs="Arial"/>
          <w:color w:val="000000"/>
          <w:sz w:val="23"/>
          <w:szCs w:val="23"/>
        </w:rPr>
        <w:t xml:space="preserve">”. È una delle osservazioni contenute nel documento presentato oggi dal </w:t>
      </w:r>
      <w:r w:rsidRPr="000A7459">
        <w:rPr>
          <w:rFonts w:ascii="Arial" w:hAnsi="Arial" w:cs="Arial"/>
          <w:b/>
          <w:bCs/>
          <w:color w:val="000000"/>
          <w:sz w:val="23"/>
          <w:szCs w:val="23"/>
        </w:rPr>
        <w:t>Consiglio nazionale dei commercialisti</w:t>
      </w:r>
      <w:r w:rsidRPr="000A7459">
        <w:rPr>
          <w:rFonts w:ascii="Arial" w:hAnsi="Arial" w:cs="Arial"/>
          <w:color w:val="000000"/>
          <w:sz w:val="23"/>
          <w:szCs w:val="23"/>
        </w:rPr>
        <w:t xml:space="preserve"> nel corso dell’audizione parlamentare sul </w:t>
      </w:r>
      <w:r w:rsidRPr="000A7459">
        <w:rPr>
          <w:rFonts w:ascii="Arial" w:hAnsi="Arial" w:cs="Arial"/>
          <w:b/>
          <w:bCs/>
          <w:color w:val="000000"/>
          <w:sz w:val="23"/>
          <w:szCs w:val="23"/>
        </w:rPr>
        <w:t>Disegno di legge C. 1532-</w:t>
      </w:r>
      <w:r w:rsidRPr="000A7459">
        <w:rPr>
          <w:rFonts w:ascii="Arial" w:hAnsi="Arial" w:cs="Arial"/>
          <w:b/>
          <w:bCs/>
          <w:i/>
          <w:iCs/>
          <w:color w:val="000000"/>
          <w:sz w:val="23"/>
          <w:szCs w:val="23"/>
        </w:rPr>
        <w:t xml:space="preserve">bis </w:t>
      </w:r>
      <w:r w:rsidRPr="000A7459">
        <w:rPr>
          <w:rFonts w:ascii="Arial" w:hAnsi="Arial" w:cs="Arial"/>
          <w:b/>
          <w:bCs/>
          <w:color w:val="000000"/>
          <w:sz w:val="23"/>
          <w:szCs w:val="23"/>
        </w:rPr>
        <w:t>recante disposizioni in materia di lavoro</w:t>
      </w:r>
      <w:r w:rsidRPr="000A7459">
        <w:rPr>
          <w:rFonts w:ascii="Arial" w:hAnsi="Arial" w:cs="Arial"/>
          <w:color w:val="000000"/>
          <w:sz w:val="23"/>
          <w:szCs w:val="23"/>
        </w:rPr>
        <w:t>, tenutasi presso l’XI Commissione permanente lavoro pubblico e privato della Camera</w:t>
      </w:r>
      <w:r w:rsidRPr="000A7459">
        <w:rPr>
          <w:rFonts w:ascii="Arial" w:hAnsi="Arial" w:cs="Arial"/>
          <w:b/>
          <w:bCs/>
          <w:color w:val="000000"/>
          <w:sz w:val="23"/>
          <w:szCs w:val="23"/>
        </w:rPr>
        <w:t>.</w:t>
      </w:r>
    </w:p>
    <w:p w14:paraId="46DA1790" w14:textId="77777777" w:rsidR="000A7459" w:rsidRPr="000A7459" w:rsidRDefault="000A7459" w:rsidP="000A7459">
      <w:pPr>
        <w:pStyle w:val="NormaleWeb"/>
        <w:spacing w:before="0" w:beforeAutospacing="0" w:after="0" w:afterAutospacing="0"/>
        <w:jc w:val="both"/>
        <w:rPr>
          <w:sz w:val="23"/>
          <w:szCs w:val="23"/>
        </w:rPr>
      </w:pPr>
    </w:p>
    <w:p w14:paraId="37C6DB5C"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color w:val="000000"/>
          <w:sz w:val="23"/>
          <w:szCs w:val="23"/>
        </w:rPr>
        <w:t xml:space="preserve">Per i commercialisti, rappresentati dai due consiglieri nazionali delegati alla materia, </w:t>
      </w:r>
      <w:r w:rsidRPr="000A7459">
        <w:rPr>
          <w:rFonts w:ascii="Arial" w:hAnsi="Arial" w:cs="Arial"/>
          <w:b/>
          <w:bCs/>
          <w:color w:val="000000"/>
          <w:sz w:val="23"/>
          <w:szCs w:val="23"/>
        </w:rPr>
        <w:t>Marina Andreatta</w:t>
      </w:r>
      <w:r w:rsidRPr="000A7459">
        <w:rPr>
          <w:rFonts w:ascii="Arial" w:hAnsi="Arial" w:cs="Arial"/>
          <w:color w:val="000000"/>
          <w:sz w:val="23"/>
          <w:szCs w:val="23"/>
        </w:rPr>
        <w:t xml:space="preserve"> e </w:t>
      </w:r>
      <w:r w:rsidRPr="000A7459">
        <w:rPr>
          <w:rFonts w:ascii="Arial" w:hAnsi="Arial" w:cs="Arial"/>
          <w:b/>
          <w:bCs/>
          <w:color w:val="000000"/>
          <w:sz w:val="23"/>
          <w:szCs w:val="23"/>
        </w:rPr>
        <w:t>Aldo Campo</w:t>
      </w:r>
      <w:r w:rsidRPr="000A7459">
        <w:rPr>
          <w:rFonts w:ascii="Arial" w:hAnsi="Arial" w:cs="Arial"/>
          <w:color w:val="000000"/>
          <w:sz w:val="23"/>
          <w:szCs w:val="23"/>
        </w:rPr>
        <w:t xml:space="preserve">, “la sola assenza ingiustificata protratta per </w:t>
      </w:r>
      <w:r w:rsidRPr="000A7459">
        <w:rPr>
          <w:rFonts w:ascii="Arial" w:hAnsi="Arial" w:cs="Arial"/>
          <w:b/>
          <w:bCs/>
          <w:color w:val="000000"/>
          <w:sz w:val="23"/>
          <w:szCs w:val="23"/>
        </w:rPr>
        <w:t>oltre cinque giorni</w:t>
      </w:r>
      <w:r w:rsidRPr="000A7459">
        <w:rPr>
          <w:rFonts w:ascii="Arial" w:hAnsi="Arial" w:cs="Arial"/>
          <w:color w:val="000000"/>
          <w:sz w:val="23"/>
          <w:szCs w:val="23"/>
        </w:rPr>
        <w:t xml:space="preserve"> o oltre il termine previsto dal contratto collettivo non si ritiene assurga a </w:t>
      </w:r>
      <w:r w:rsidRPr="000A7459">
        <w:rPr>
          <w:rFonts w:ascii="Arial" w:hAnsi="Arial" w:cs="Arial"/>
          <w:b/>
          <w:bCs/>
          <w:color w:val="000000"/>
          <w:sz w:val="23"/>
          <w:szCs w:val="23"/>
        </w:rPr>
        <w:t>elemento sufficiente</w:t>
      </w:r>
      <w:r w:rsidRPr="000A7459">
        <w:rPr>
          <w:rFonts w:ascii="Arial" w:hAnsi="Arial" w:cs="Arial"/>
          <w:color w:val="000000"/>
          <w:sz w:val="23"/>
          <w:szCs w:val="23"/>
        </w:rPr>
        <w:t xml:space="preserve"> a configurare la </w:t>
      </w:r>
      <w:r w:rsidRPr="000A7459">
        <w:rPr>
          <w:rFonts w:ascii="Arial" w:hAnsi="Arial" w:cs="Arial"/>
          <w:b/>
          <w:bCs/>
          <w:color w:val="000000"/>
          <w:sz w:val="23"/>
          <w:szCs w:val="23"/>
        </w:rPr>
        <w:t>risoluzione del rapporto di lavoro</w:t>
      </w:r>
      <w:r w:rsidRPr="000A7459">
        <w:rPr>
          <w:rFonts w:ascii="Arial" w:hAnsi="Arial" w:cs="Arial"/>
          <w:color w:val="000000"/>
          <w:sz w:val="23"/>
          <w:szCs w:val="23"/>
        </w:rPr>
        <w:t xml:space="preserve"> con imputazione al lavoratore dimissionario. Il comportamento/inadempimento qualificante la fattispecie delle dimissioni dovrebbe configurarsi in modo </w:t>
      </w:r>
      <w:r w:rsidRPr="000A7459">
        <w:rPr>
          <w:rFonts w:ascii="Arial" w:hAnsi="Arial" w:cs="Arial"/>
          <w:b/>
          <w:bCs/>
          <w:color w:val="000000"/>
          <w:sz w:val="23"/>
          <w:szCs w:val="23"/>
        </w:rPr>
        <w:t>decisamente più rigoroso</w:t>
      </w:r>
      <w:r w:rsidRPr="000A7459">
        <w:rPr>
          <w:rFonts w:ascii="Arial" w:hAnsi="Arial" w:cs="Arial"/>
          <w:color w:val="000000"/>
          <w:sz w:val="23"/>
          <w:szCs w:val="23"/>
        </w:rPr>
        <w:t xml:space="preserve">, anche al fine di evitare la proliferazione di un </w:t>
      </w:r>
      <w:r w:rsidRPr="000A7459">
        <w:rPr>
          <w:rFonts w:ascii="Arial" w:hAnsi="Arial" w:cs="Arial"/>
          <w:b/>
          <w:bCs/>
          <w:color w:val="000000"/>
          <w:sz w:val="23"/>
          <w:szCs w:val="23"/>
        </w:rPr>
        <w:t>pericoloso contezioso</w:t>
      </w:r>
      <w:r w:rsidRPr="000A7459">
        <w:rPr>
          <w:rFonts w:ascii="Arial" w:hAnsi="Arial" w:cs="Arial"/>
          <w:color w:val="000000"/>
          <w:sz w:val="23"/>
          <w:szCs w:val="23"/>
        </w:rPr>
        <w:t> per gli stessi datori di lavoro. Lo schema giuridico dovrebbe ricalcare quello già teorizzato in passato dalla dottrina e accolto dalla giurisprudenza delle dimissioni per fatti concludenti”.</w:t>
      </w:r>
    </w:p>
    <w:p w14:paraId="62DA2F69"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color w:val="000000"/>
          <w:sz w:val="23"/>
          <w:szCs w:val="23"/>
        </w:rPr>
        <w:t> </w:t>
      </w:r>
    </w:p>
    <w:p w14:paraId="6759CAED" w14:textId="1FD782A6" w:rsidR="000A7459" w:rsidRDefault="000A7459" w:rsidP="000A7459">
      <w:pPr>
        <w:pStyle w:val="NormaleWeb"/>
        <w:spacing w:before="0" w:beforeAutospacing="0" w:after="0" w:afterAutospacing="0"/>
        <w:jc w:val="both"/>
        <w:rPr>
          <w:rFonts w:ascii="Arial" w:hAnsi="Arial" w:cs="Arial"/>
          <w:color w:val="000000"/>
          <w:sz w:val="23"/>
          <w:szCs w:val="23"/>
        </w:rPr>
      </w:pPr>
      <w:r w:rsidRPr="000A7459">
        <w:rPr>
          <w:rFonts w:ascii="Arial" w:hAnsi="Arial" w:cs="Arial"/>
          <w:color w:val="000000"/>
          <w:sz w:val="23"/>
          <w:szCs w:val="23"/>
        </w:rPr>
        <w:t xml:space="preserve">Sempre in materia di </w:t>
      </w:r>
      <w:r w:rsidRPr="000A7459">
        <w:rPr>
          <w:rFonts w:ascii="Arial" w:hAnsi="Arial" w:cs="Arial"/>
          <w:b/>
          <w:bCs/>
          <w:color w:val="000000"/>
          <w:sz w:val="23"/>
          <w:szCs w:val="23"/>
        </w:rPr>
        <w:t xml:space="preserve">dimissioni volontarie </w:t>
      </w:r>
      <w:r w:rsidRPr="000A7459">
        <w:rPr>
          <w:rFonts w:ascii="Arial" w:hAnsi="Arial" w:cs="Arial"/>
          <w:color w:val="000000"/>
          <w:sz w:val="23"/>
          <w:szCs w:val="23"/>
        </w:rPr>
        <w:t>i commercialisti hanno ricordato come</w:t>
      </w:r>
      <w:r w:rsidRPr="000A7459">
        <w:rPr>
          <w:rFonts w:ascii="Arial" w:hAnsi="Arial" w:cs="Arial"/>
          <w:b/>
          <w:bCs/>
          <w:color w:val="000000"/>
          <w:sz w:val="23"/>
          <w:szCs w:val="23"/>
        </w:rPr>
        <w:t xml:space="preserve"> </w:t>
      </w:r>
      <w:r w:rsidRPr="000A7459">
        <w:rPr>
          <w:rFonts w:ascii="Arial" w:hAnsi="Arial" w:cs="Arial"/>
          <w:color w:val="000000"/>
          <w:sz w:val="23"/>
          <w:szCs w:val="23"/>
        </w:rPr>
        <w:t xml:space="preserve">il </w:t>
      </w:r>
      <w:r w:rsidRPr="000A7459">
        <w:rPr>
          <w:rFonts w:ascii="Arial" w:hAnsi="Arial" w:cs="Arial"/>
          <w:b/>
          <w:bCs/>
          <w:color w:val="000000"/>
          <w:sz w:val="23"/>
          <w:szCs w:val="23"/>
        </w:rPr>
        <w:t>decreto legislativo n. 151 del 2015 </w:t>
      </w:r>
      <w:r w:rsidRPr="000A7459">
        <w:rPr>
          <w:rFonts w:ascii="Arial" w:hAnsi="Arial" w:cs="Arial"/>
          <w:color w:val="000000"/>
          <w:sz w:val="23"/>
          <w:szCs w:val="23"/>
        </w:rPr>
        <w:t xml:space="preserve">prevede che le dimissioni del lavoratore subordinato debbano essere presentate mediante apposita </w:t>
      </w:r>
      <w:r w:rsidRPr="000A7459">
        <w:rPr>
          <w:rFonts w:ascii="Arial" w:hAnsi="Arial" w:cs="Arial"/>
          <w:b/>
          <w:bCs/>
          <w:color w:val="000000"/>
          <w:sz w:val="23"/>
          <w:szCs w:val="23"/>
        </w:rPr>
        <w:t>procedura telematica</w:t>
      </w:r>
      <w:r w:rsidRPr="000A7459">
        <w:rPr>
          <w:rFonts w:ascii="Arial" w:hAnsi="Arial" w:cs="Arial"/>
          <w:color w:val="000000"/>
          <w:sz w:val="23"/>
          <w:szCs w:val="23"/>
        </w:rPr>
        <w:t xml:space="preserve"> e che la trasmissione dei relativi moduli al Ministero del lavoro e delle politiche sociali possa avvenire anche per il tramite dei </w:t>
      </w:r>
      <w:r w:rsidRPr="000A7459">
        <w:rPr>
          <w:rFonts w:ascii="Arial" w:hAnsi="Arial" w:cs="Arial"/>
          <w:b/>
          <w:bCs/>
          <w:color w:val="000000"/>
          <w:sz w:val="23"/>
          <w:szCs w:val="23"/>
        </w:rPr>
        <w:t>patronati</w:t>
      </w:r>
      <w:r w:rsidRPr="000A7459">
        <w:rPr>
          <w:rFonts w:ascii="Arial" w:hAnsi="Arial" w:cs="Arial"/>
          <w:color w:val="000000"/>
          <w:sz w:val="23"/>
          <w:szCs w:val="23"/>
        </w:rPr>
        <w:t xml:space="preserve">, delle </w:t>
      </w:r>
      <w:r w:rsidRPr="000A7459">
        <w:rPr>
          <w:rFonts w:ascii="Arial" w:hAnsi="Arial" w:cs="Arial"/>
          <w:b/>
          <w:bCs/>
          <w:color w:val="000000"/>
          <w:sz w:val="23"/>
          <w:szCs w:val="23"/>
        </w:rPr>
        <w:t>organizzazioni sindacali</w:t>
      </w:r>
      <w:r w:rsidRPr="000A7459">
        <w:rPr>
          <w:rFonts w:ascii="Arial" w:hAnsi="Arial" w:cs="Arial"/>
          <w:color w:val="000000"/>
          <w:sz w:val="23"/>
          <w:szCs w:val="23"/>
        </w:rPr>
        <w:t xml:space="preserve">, dei </w:t>
      </w:r>
      <w:r w:rsidRPr="000A7459">
        <w:rPr>
          <w:rFonts w:ascii="Arial" w:hAnsi="Arial" w:cs="Arial"/>
          <w:b/>
          <w:bCs/>
          <w:color w:val="000000"/>
          <w:sz w:val="23"/>
          <w:szCs w:val="23"/>
        </w:rPr>
        <w:t>consulenti del lavoro</w:t>
      </w:r>
      <w:r w:rsidRPr="000A7459">
        <w:rPr>
          <w:rFonts w:ascii="Arial" w:hAnsi="Arial" w:cs="Arial"/>
          <w:color w:val="000000"/>
          <w:sz w:val="23"/>
          <w:szCs w:val="23"/>
        </w:rPr>
        <w:t xml:space="preserve">, delle sedi territoriali </w:t>
      </w:r>
      <w:r w:rsidRPr="000A7459">
        <w:rPr>
          <w:rFonts w:ascii="Arial" w:hAnsi="Arial" w:cs="Arial"/>
          <w:b/>
          <w:bCs/>
          <w:color w:val="000000"/>
          <w:sz w:val="23"/>
          <w:szCs w:val="23"/>
        </w:rPr>
        <w:t>dell’Ispettorato nazionale del lavoro</w:t>
      </w:r>
      <w:r w:rsidRPr="000A7459">
        <w:rPr>
          <w:rFonts w:ascii="Arial" w:hAnsi="Arial" w:cs="Arial"/>
          <w:color w:val="000000"/>
          <w:sz w:val="23"/>
          <w:szCs w:val="23"/>
        </w:rPr>
        <w:t> nonché degli enti bilaterali e delle commissioni di certificazione di cui all’art.</w:t>
      </w:r>
      <w:r w:rsidR="00D65761">
        <w:rPr>
          <w:rFonts w:ascii="Arial" w:hAnsi="Arial" w:cs="Arial"/>
          <w:color w:val="000000"/>
          <w:sz w:val="23"/>
          <w:szCs w:val="23"/>
        </w:rPr>
        <w:t xml:space="preserve"> </w:t>
      </w:r>
      <w:r w:rsidRPr="000A7459">
        <w:rPr>
          <w:rFonts w:ascii="Arial" w:hAnsi="Arial" w:cs="Arial"/>
          <w:color w:val="000000"/>
          <w:sz w:val="23"/>
          <w:szCs w:val="23"/>
        </w:rPr>
        <w:t xml:space="preserve">76 del d.lgs. 276/2003, </w:t>
      </w:r>
      <w:r w:rsidRPr="000A7459">
        <w:rPr>
          <w:rFonts w:ascii="Arial" w:hAnsi="Arial" w:cs="Arial"/>
          <w:b/>
          <w:bCs/>
          <w:color w:val="000000"/>
          <w:sz w:val="23"/>
          <w:szCs w:val="23"/>
        </w:rPr>
        <w:t xml:space="preserve">senza attribuire le medesime prerogative ai dottori commercialisti ed agli esperti contabili, </w:t>
      </w:r>
      <w:r w:rsidRPr="000A7459">
        <w:rPr>
          <w:rFonts w:ascii="Arial" w:hAnsi="Arial" w:cs="Arial"/>
          <w:color w:val="000000"/>
          <w:sz w:val="23"/>
          <w:szCs w:val="23"/>
        </w:rPr>
        <w:t>pure a fronte delle prerogative ad essi attribuite dalla legge n. 12/1979.</w:t>
      </w:r>
    </w:p>
    <w:p w14:paraId="3A7E7190" w14:textId="77777777" w:rsidR="00D65761" w:rsidRPr="000A7459" w:rsidRDefault="00D65761" w:rsidP="000A7459">
      <w:pPr>
        <w:pStyle w:val="NormaleWeb"/>
        <w:spacing w:before="0" w:beforeAutospacing="0" w:after="0" w:afterAutospacing="0"/>
        <w:jc w:val="both"/>
        <w:rPr>
          <w:sz w:val="23"/>
          <w:szCs w:val="23"/>
        </w:rPr>
      </w:pPr>
    </w:p>
    <w:p w14:paraId="7ACAC2A1"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color w:val="000000"/>
          <w:sz w:val="23"/>
          <w:szCs w:val="23"/>
        </w:rPr>
        <w:t xml:space="preserve">“Le disposizioni normative in materia di consulenza del lavoro e amministrazione del personale – hanno affermato Andreatta e Campo – pongono i commercialisti </w:t>
      </w:r>
      <w:r w:rsidRPr="000A7459">
        <w:rPr>
          <w:rFonts w:ascii="Arial" w:hAnsi="Arial" w:cs="Arial"/>
          <w:b/>
          <w:bCs/>
          <w:color w:val="000000"/>
          <w:sz w:val="23"/>
          <w:szCs w:val="23"/>
        </w:rPr>
        <w:t>sullo stesso piano</w:t>
      </w:r>
      <w:r w:rsidRPr="000A7459">
        <w:rPr>
          <w:rFonts w:ascii="Arial" w:hAnsi="Arial" w:cs="Arial"/>
          <w:color w:val="000000"/>
          <w:sz w:val="23"/>
          <w:szCs w:val="23"/>
        </w:rPr>
        <w:t xml:space="preserve"> dei consulenti del lavoro e dunque appare </w:t>
      </w:r>
      <w:r w:rsidRPr="000A7459">
        <w:rPr>
          <w:rFonts w:ascii="Arial" w:hAnsi="Arial" w:cs="Arial"/>
          <w:b/>
          <w:bCs/>
          <w:color w:val="000000"/>
          <w:sz w:val="23"/>
          <w:szCs w:val="23"/>
        </w:rPr>
        <w:t>incomprensibile e ingiustificata</w:t>
      </w:r>
      <w:r w:rsidRPr="000A7459">
        <w:rPr>
          <w:rFonts w:ascii="Arial" w:hAnsi="Arial" w:cs="Arial"/>
          <w:color w:val="000000"/>
          <w:sz w:val="23"/>
          <w:szCs w:val="23"/>
        </w:rPr>
        <w:t xml:space="preserve"> una diversa attribuzione di competenze. Il DDL oggetto di audizione, intervenendo sulla disciplina normativa in materia di dimissioni, rappresenta </w:t>
      </w:r>
      <w:r w:rsidRPr="000A7459">
        <w:rPr>
          <w:rFonts w:ascii="Arial" w:hAnsi="Arial" w:cs="Arial"/>
          <w:b/>
          <w:bCs/>
          <w:color w:val="000000"/>
          <w:sz w:val="23"/>
          <w:szCs w:val="23"/>
        </w:rPr>
        <w:t>l’occasione opportuna</w:t>
      </w:r>
      <w:r w:rsidRPr="000A7459">
        <w:rPr>
          <w:rFonts w:ascii="Arial" w:hAnsi="Arial" w:cs="Arial"/>
          <w:color w:val="000000"/>
          <w:sz w:val="23"/>
          <w:szCs w:val="23"/>
        </w:rPr>
        <w:t xml:space="preserve"> per rimediare alla grave disparità di trattamento tra categorie professionali </w:t>
      </w:r>
      <w:r w:rsidRPr="000A7459">
        <w:rPr>
          <w:rFonts w:ascii="Arial" w:hAnsi="Arial" w:cs="Arial"/>
          <w:b/>
          <w:bCs/>
          <w:color w:val="000000"/>
          <w:sz w:val="23"/>
          <w:szCs w:val="23"/>
        </w:rPr>
        <w:t>egualmente abilitate dalla legge</w:t>
      </w:r>
      <w:r w:rsidRPr="000A7459">
        <w:rPr>
          <w:rFonts w:ascii="Arial" w:hAnsi="Arial" w:cs="Arial"/>
          <w:color w:val="000000"/>
          <w:sz w:val="23"/>
          <w:szCs w:val="23"/>
        </w:rPr>
        <w:t>”.</w:t>
      </w:r>
    </w:p>
    <w:p w14:paraId="4F99A734" w14:textId="77777777" w:rsidR="000A7459" w:rsidRPr="000A7459" w:rsidRDefault="000A7459" w:rsidP="000A7459">
      <w:pPr>
        <w:pStyle w:val="NormaleWeb"/>
        <w:spacing w:before="0" w:beforeAutospacing="0" w:after="0" w:afterAutospacing="0"/>
        <w:jc w:val="both"/>
        <w:rPr>
          <w:sz w:val="23"/>
          <w:szCs w:val="23"/>
        </w:rPr>
      </w:pPr>
      <w:r w:rsidRPr="000A7459">
        <w:rPr>
          <w:rFonts w:ascii="Arial" w:hAnsi="Arial" w:cs="Arial"/>
          <w:color w:val="000000"/>
          <w:sz w:val="23"/>
          <w:szCs w:val="23"/>
        </w:rPr>
        <w:t> </w:t>
      </w:r>
    </w:p>
    <w:p w14:paraId="54B05486" w14:textId="7B55CB8B" w:rsidR="000A7459" w:rsidRPr="000A7459" w:rsidRDefault="000A7459" w:rsidP="000A7459">
      <w:pPr>
        <w:pStyle w:val="xelementtoproof"/>
        <w:spacing w:before="0" w:beforeAutospacing="0" w:after="0" w:afterAutospacing="0"/>
        <w:jc w:val="both"/>
        <w:rPr>
          <w:sz w:val="23"/>
          <w:szCs w:val="23"/>
        </w:rPr>
      </w:pPr>
      <w:r w:rsidRPr="000A7459">
        <w:rPr>
          <w:rFonts w:ascii="Arial" w:hAnsi="Arial" w:cs="Arial"/>
          <w:color w:val="000000"/>
          <w:sz w:val="23"/>
          <w:szCs w:val="23"/>
        </w:rPr>
        <w:lastRenderedPageBreak/>
        <w:t xml:space="preserve">La categoria si è espressa anche sulla disciplina in materia di </w:t>
      </w:r>
      <w:r w:rsidRPr="000A7459">
        <w:rPr>
          <w:rFonts w:ascii="Arial" w:hAnsi="Arial" w:cs="Arial"/>
          <w:b/>
          <w:bCs/>
          <w:color w:val="000000"/>
          <w:sz w:val="23"/>
          <w:szCs w:val="23"/>
        </w:rPr>
        <w:t>somministrazione di lavoro</w:t>
      </w:r>
      <w:r w:rsidRPr="000A7459">
        <w:rPr>
          <w:rFonts w:ascii="Arial" w:hAnsi="Arial" w:cs="Arial"/>
          <w:color w:val="000000"/>
          <w:sz w:val="23"/>
          <w:szCs w:val="23"/>
        </w:rPr>
        <w:t xml:space="preserve">, chiedendo la </w:t>
      </w:r>
      <w:r w:rsidRPr="000A7459">
        <w:rPr>
          <w:rFonts w:ascii="Arial" w:hAnsi="Arial" w:cs="Arial"/>
          <w:b/>
          <w:bCs/>
          <w:color w:val="000000"/>
          <w:sz w:val="23"/>
          <w:szCs w:val="23"/>
        </w:rPr>
        <w:t>soppressione</w:t>
      </w:r>
      <w:r w:rsidRPr="000A7459">
        <w:rPr>
          <w:rFonts w:ascii="Arial" w:hAnsi="Arial" w:cs="Arial"/>
          <w:color w:val="000000"/>
          <w:sz w:val="23"/>
          <w:szCs w:val="23"/>
        </w:rPr>
        <w:t xml:space="preserve"> dell’emendamento che, in sostanza, stabilisce che “un’impresa utilizzatrice potrà ricorrere </w:t>
      </w:r>
      <w:r w:rsidRPr="000A7459">
        <w:rPr>
          <w:rFonts w:ascii="Arial" w:hAnsi="Arial" w:cs="Arial"/>
          <w:b/>
          <w:bCs/>
          <w:color w:val="000000"/>
          <w:sz w:val="23"/>
          <w:szCs w:val="23"/>
        </w:rPr>
        <w:t>senza limiti</w:t>
      </w:r>
      <w:r w:rsidRPr="000A7459">
        <w:rPr>
          <w:rFonts w:ascii="Arial" w:hAnsi="Arial" w:cs="Arial"/>
          <w:color w:val="000000"/>
          <w:sz w:val="23"/>
          <w:szCs w:val="23"/>
        </w:rPr>
        <w:t> alla somministrazione di lavoratori, sia a tempo determinato sia a tempo indeterminato, per il sol</w:t>
      </w:r>
      <w:r w:rsidR="00D65761">
        <w:rPr>
          <w:rFonts w:ascii="Arial" w:hAnsi="Arial" w:cs="Arial"/>
          <w:color w:val="000000"/>
          <w:sz w:val="23"/>
          <w:szCs w:val="23"/>
        </w:rPr>
        <w:t>o</w:t>
      </w:r>
      <w:r w:rsidRPr="000A7459">
        <w:rPr>
          <w:rFonts w:ascii="Arial" w:hAnsi="Arial" w:cs="Arial"/>
          <w:color w:val="000000"/>
          <w:sz w:val="23"/>
          <w:szCs w:val="23"/>
        </w:rPr>
        <w:t xml:space="preserve"> fatto che il lavoratore somministrato sia assunto dal somministratore con contratto a tempo indeterminato”. “Si tratta </w:t>
      </w:r>
      <w:r w:rsidR="00D65761">
        <w:rPr>
          <w:rFonts w:ascii="Arial" w:hAnsi="Arial" w:cs="Arial"/>
          <w:color w:val="000000"/>
          <w:sz w:val="23"/>
          <w:szCs w:val="23"/>
        </w:rPr>
        <w:t>–</w:t>
      </w:r>
      <w:r w:rsidRPr="000A7459">
        <w:rPr>
          <w:rFonts w:ascii="Arial" w:hAnsi="Arial" w:cs="Arial"/>
          <w:color w:val="000000"/>
          <w:sz w:val="23"/>
          <w:szCs w:val="23"/>
        </w:rPr>
        <w:t xml:space="preserve"> hanno affermato Andreatta e Campo </w:t>
      </w:r>
      <w:r w:rsidR="00D65761">
        <w:rPr>
          <w:rFonts w:ascii="Arial" w:hAnsi="Arial" w:cs="Arial"/>
          <w:color w:val="000000"/>
          <w:sz w:val="23"/>
          <w:szCs w:val="23"/>
        </w:rPr>
        <w:t>–</w:t>
      </w:r>
      <w:r w:rsidRPr="000A7459">
        <w:rPr>
          <w:rFonts w:ascii="Arial" w:hAnsi="Arial" w:cs="Arial"/>
          <w:color w:val="000000"/>
          <w:sz w:val="23"/>
          <w:szCs w:val="23"/>
        </w:rPr>
        <w:t xml:space="preserve"> di un provvedimento che si inserisce nel solco delle misure che perseguono lo scopo di separare il lavoro dall’impresa che lo utilizza con un evidente </w:t>
      </w:r>
      <w:r w:rsidRPr="000A7459">
        <w:rPr>
          <w:rFonts w:ascii="Arial" w:hAnsi="Arial" w:cs="Arial"/>
          <w:b/>
          <w:bCs/>
          <w:color w:val="000000"/>
          <w:sz w:val="23"/>
          <w:szCs w:val="23"/>
        </w:rPr>
        <w:t>rischio di deresponsabilizzazione</w:t>
      </w:r>
      <w:r w:rsidRPr="000A7459">
        <w:rPr>
          <w:rFonts w:ascii="Arial" w:hAnsi="Arial" w:cs="Arial"/>
          <w:color w:val="000000"/>
          <w:sz w:val="23"/>
          <w:szCs w:val="23"/>
        </w:rPr>
        <w:t xml:space="preserve"> dell’imprenditore verso i lavoratori che producono per lui</w:t>
      </w:r>
      <w:r w:rsidR="00D65761">
        <w:rPr>
          <w:rFonts w:ascii="Arial" w:hAnsi="Arial" w:cs="Arial"/>
          <w:color w:val="000000"/>
          <w:sz w:val="23"/>
          <w:szCs w:val="23"/>
        </w:rPr>
        <w:t>,</w:t>
      </w:r>
      <w:r w:rsidRPr="000A7459">
        <w:rPr>
          <w:rFonts w:ascii="Arial" w:hAnsi="Arial" w:cs="Arial"/>
          <w:color w:val="000000"/>
          <w:sz w:val="23"/>
          <w:szCs w:val="23"/>
        </w:rPr>
        <w:t xml:space="preserve"> ma che formalmente non sono suoi dipendenti. Inoltre, l’</w:t>
      </w:r>
      <w:r w:rsidRPr="000A7459">
        <w:rPr>
          <w:rFonts w:ascii="Arial" w:hAnsi="Arial" w:cs="Arial"/>
          <w:b/>
          <w:bCs/>
          <w:color w:val="000000"/>
          <w:sz w:val="23"/>
          <w:szCs w:val="23"/>
        </w:rPr>
        <w:t>estensione indiscriminata</w:t>
      </w:r>
      <w:r w:rsidRPr="000A7459">
        <w:rPr>
          <w:rFonts w:ascii="Arial" w:hAnsi="Arial" w:cs="Arial"/>
          <w:color w:val="000000"/>
          <w:sz w:val="23"/>
          <w:szCs w:val="23"/>
        </w:rPr>
        <w:t xml:space="preserve"> delle possibilità di somministrazione, accompagnata al “beneficio” del </w:t>
      </w:r>
      <w:r w:rsidRPr="000A7459">
        <w:rPr>
          <w:rFonts w:ascii="Arial" w:hAnsi="Arial" w:cs="Arial"/>
          <w:b/>
          <w:bCs/>
          <w:color w:val="000000"/>
          <w:sz w:val="23"/>
          <w:szCs w:val="23"/>
        </w:rPr>
        <w:t>non computo</w:t>
      </w:r>
      <w:r w:rsidRPr="000A7459">
        <w:rPr>
          <w:rFonts w:ascii="Arial" w:hAnsi="Arial" w:cs="Arial"/>
          <w:color w:val="000000"/>
          <w:sz w:val="23"/>
          <w:szCs w:val="23"/>
        </w:rPr>
        <w:t xml:space="preserve"> del lavoratore somministrato nell’organico del soggetto utilizzatore, contribuisce alla </w:t>
      </w:r>
      <w:r w:rsidRPr="000A7459">
        <w:rPr>
          <w:rFonts w:ascii="Arial" w:hAnsi="Arial" w:cs="Arial"/>
          <w:b/>
          <w:bCs/>
          <w:color w:val="000000"/>
          <w:sz w:val="23"/>
          <w:szCs w:val="23"/>
        </w:rPr>
        <w:t>precarizzazione dei rapporti di lavoro</w:t>
      </w:r>
      <w:r w:rsidRPr="000A7459">
        <w:rPr>
          <w:rFonts w:ascii="Arial" w:hAnsi="Arial" w:cs="Arial"/>
          <w:color w:val="000000"/>
          <w:sz w:val="23"/>
          <w:szCs w:val="23"/>
        </w:rPr>
        <w:t>, privando di diritti il lavoratore e alterando la normale dialettica individuale e collettiva”.</w:t>
      </w:r>
    </w:p>
    <w:p w14:paraId="33A693B0" w14:textId="1F90B30B" w:rsidR="00BA3BBC" w:rsidRPr="000A7459" w:rsidRDefault="00BA3BBC" w:rsidP="000A7459">
      <w:pPr>
        <w:rPr>
          <w:sz w:val="23"/>
          <w:szCs w:val="23"/>
        </w:rPr>
      </w:pPr>
    </w:p>
    <w:sectPr w:rsidR="00BA3BBC" w:rsidRPr="000A74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CC28" w14:textId="77777777" w:rsidR="00077C69" w:rsidRDefault="00077C69" w:rsidP="00220212">
      <w:r>
        <w:separator/>
      </w:r>
    </w:p>
  </w:endnote>
  <w:endnote w:type="continuationSeparator" w:id="0">
    <w:p w14:paraId="5C339864" w14:textId="77777777" w:rsidR="00077C69" w:rsidRDefault="00077C69"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06F3" w14:textId="77777777" w:rsidR="00077C69" w:rsidRDefault="00077C69" w:rsidP="00220212">
      <w:r>
        <w:separator/>
      </w:r>
    </w:p>
  </w:footnote>
  <w:footnote w:type="continuationSeparator" w:id="0">
    <w:p w14:paraId="594273FD" w14:textId="77777777" w:rsidR="00077C69" w:rsidRDefault="00077C69"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3FF8" w14:textId="20ECDA3D" w:rsidR="008E2B58" w:rsidRDefault="00220212" w:rsidP="008E2B58">
    <w:pPr>
      <w:pStyle w:val="NormaleWeb"/>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p w14:paraId="7B2C182F" w14:textId="2905C451" w:rsidR="00220212" w:rsidRDefault="00220212" w:rsidP="0022021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0"/>
  </w:num>
  <w:num w:numId="2" w16cid:durableId="197919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03FF5"/>
    <w:rsid w:val="00010022"/>
    <w:rsid w:val="00037878"/>
    <w:rsid w:val="000479AC"/>
    <w:rsid w:val="00077C69"/>
    <w:rsid w:val="00094B5A"/>
    <w:rsid w:val="000A7459"/>
    <w:rsid w:val="000B6668"/>
    <w:rsid w:val="000C110F"/>
    <w:rsid w:val="000F1D74"/>
    <w:rsid w:val="000F55E6"/>
    <w:rsid w:val="00143CA7"/>
    <w:rsid w:val="0015226C"/>
    <w:rsid w:val="00160C11"/>
    <w:rsid w:val="00165DD0"/>
    <w:rsid w:val="00177C26"/>
    <w:rsid w:val="00182A96"/>
    <w:rsid w:val="001874D6"/>
    <w:rsid w:val="001C5158"/>
    <w:rsid w:val="001E3A81"/>
    <w:rsid w:val="002075E5"/>
    <w:rsid w:val="00216372"/>
    <w:rsid w:val="00216ED1"/>
    <w:rsid w:val="00220212"/>
    <w:rsid w:val="002334E3"/>
    <w:rsid w:val="00253767"/>
    <w:rsid w:val="00267E66"/>
    <w:rsid w:val="002746D5"/>
    <w:rsid w:val="00296AF5"/>
    <w:rsid w:val="002A32AA"/>
    <w:rsid w:val="002B5F48"/>
    <w:rsid w:val="002F6437"/>
    <w:rsid w:val="00345148"/>
    <w:rsid w:val="003C3F4F"/>
    <w:rsid w:val="003E17D9"/>
    <w:rsid w:val="003E3525"/>
    <w:rsid w:val="003E3FCA"/>
    <w:rsid w:val="00445AEC"/>
    <w:rsid w:val="0045305C"/>
    <w:rsid w:val="00483158"/>
    <w:rsid w:val="00486C52"/>
    <w:rsid w:val="00497999"/>
    <w:rsid w:val="004A186D"/>
    <w:rsid w:val="004B5EE7"/>
    <w:rsid w:val="004C2BCA"/>
    <w:rsid w:val="004D1071"/>
    <w:rsid w:val="004E23E1"/>
    <w:rsid w:val="00501207"/>
    <w:rsid w:val="00512314"/>
    <w:rsid w:val="00533841"/>
    <w:rsid w:val="00553F32"/>
    <w:rsid w:val="005626A0"/>
    <w:rsid w:val="005663D0"/>
    <w:rsid w:val="005A4AF3"/>
    <w:rsid w:val="005E533E"/>
    <w:rsid w:val="005F6E31"/>
    <w:rsid w:val="0061177A"/>
    <w:rsid w:val="00624D8B"/>
    <w:rsid w:val="006341FE"/>
    <w:rsid w:val="00634A0E"/>
    <w:rsid w:val="00671CCF"/>
    <w:rsid w:val="006736CC"/>
    <w:rsid w:val="00685B2B"/>
    <w:rsid w:val="00691D93"/>
    <w:rsid w:val="00695F82"/>
    <w:rsid w:val="006C3AB0"/>
    <w:rsid w:val="006C3BC3"/>
    <w:rsid w:val="006D7D54"/>
    <w:rsid w:val="00700A3D"/>
    <w:rsid w:val="00701E6A"/>
    <w:rsid w:val="007045B2"/>
    <w:rsid w:val="00704F82"/>
    <w:rsid w:val="00745DF2"/>
    <w:rsid w:val="007C51A4"/>
    <w:rsid w:val="007C6736"/>
    <w:rsid w:val="007D37AA"/>
    <w:rsid w:val="007F178D"/>
    <w:rsid w:val="00810BBF"/>
    <w:rsid w:val="00816260"/>
    <w:rsid w:val="00857029"/>
    <w:rsid w:val="00874EAE"/>
    <w:rsid w:val="008B0F11"/>
    <w:rsid w:val="008E2B58"/>
    <w:rsid w:val="00956C46"/>
    <w:rsid w:val="0095755C"/>
    <w:rsid w:val="009708C8"/>
    <w:rsid w:val="00980BD2"/>
    <w:rsid w:val="0099080D"/>
    <w:rsid w:val="009C51B5"/>
    <w:rsid w:val="009D00BF"/>
    <w:rsid w:val="009E2D35"/>
    <w:rsid w:val="00A0710B"/>
    <w:rsid w:val="00A24D54"/>
    <w:rsid w:val="00A25D47"/>
    <w:rsid w:val="00A375C3"/>
    <w:rsid w:val="00A402FE"/>
    <w:rsid w:val="00A735FC"/>
    <w:rsid w:val="00A84692"/>
    <w:rsid w:val="00A94828"/>
    <w:rsid w:val="00AA0E9F"/>
    <w:rsid w:val="00AE075F"/>
    <w:rsid w:val="00AF1374"/>
    <w:rsid w:val="00B50F42"/>
    <w:rsid w:val="00B96F6D"/>
    <w:rsid w:val="00BA3BBC"/>
    <w:rsid w:val="00BA4DF9"/>
    <w:rsid w:val="00BC10E3"/>
    <w:rsid w:val="00BD5ADB"/>
    <w:rsid w:val="00BD6325"/>
    <w:rsid w:val="00BD6C57"/>
    <w:rsid w:val="00BE6220"/>
    <w:rsid w:val="00C03826"/>
    <w:rsid w:val="00C251E7"/>
    <w:rsid w:val="00C522FE"/>
    <w:rsid w:val="00C56DFA"/>
    <w:rsid w:val="00C63A2F"/>
    <w:rsid w:val="00C75BC4"/>
    <w:rsid w:val="00C8115B"/>
    <w:rsid w:val="00CA44D8"/>
    <w:rsid w:val="00CE19E0"/>
    <w:rsid w:val="00CF7779"/>
    <w:rsid w:val="00D06680"/>
    <w:rsid w:val="00D21953"/>
    <w:rsid w:val="00D27097"/>
    <w:rsid w:val="00D65761"/>
    <w:rsid w:val="00D84978"/>
    <w:rsid w:val="00DC53DA"/>
    <w:rsid w:val="00DE7D69"/>
    <w:rsid w:val="00E03186"/>
    <w:rsid w:val="00E069B1"/>
    <w:rsid w:val="00E07E8C"/>
    <w:rsid w:val="00E26B37"/>
    <w:rsid w:val="00E35668"/>
    <w:rsid w:val="00E61584"/>
    <w:rsid w:val="00E65C94"/>
    <w:rsid w:val="00E66DD6"/>
    <w:rsid w:val="00E6752D"/>
    <w:rsid w:val="00E830BC"/>
    <w:rsid w:val="00E834B5"/>
    <w:rsid w:val="00E9030F"/>
    <w:rsid w:val="00E94CBC"/>
    <w:rsid w:val="00EA42D0"/>
    <w:rsid w:val="00EC05A8"/>
    <w:rsid w:val="00EC41A2"/>
    <w:rsid w:val="00F116A3"/>
    <w:rsid w:val="00F44B94"/>
    <w:rsid w:val="00F70981"/>
    <w:rsid w:val="00F8194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xelementtoproof">
    <w:name w:val="x_elementtoproof"/>
    <w:basedOn w:val="Normale"/>
    <w:uiPriority w:val="99"/>
    <w:semiHidden/>
    <w:rsid w:val="000A7459"/>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624963374">
      <w:bodyDiv w:val="1"/>
      <w:marLeft w:val="0"/>
      <w:marRight w:val="0"/>
      <w:marTop w:val="0"/>
      <w:marBottom w:val="0"/>
      <w:divBdr>
        <w:top w:val="none" w:sz="0" w:space="0" w:color="auto"/>
        <w:left w:val="none" w:sz="0" w:space="0" w:color="auto"/>
        <w:bottom w:val="none" w:sz="0" w:space="0" w:color="auto"/>
        <w:right w:val="none" w:sz="0" w:space="0" w:color="auto"/>
      </w:divBdr>
    </w:div>
    <w:div w:id="705302343">
      <w:bodyDiv w:val="1"/>
      <w:marLeft w:val="0"/>
      <w:marRight w:val="0"/>
      <w:marTop w:val="0"/>
      <w:marBottom w:val="0"/>
      <w:divBdr>
        <w:top w:val="none" w:sz="0" w:space="0" w:color="auto"/>
        <w:left w:val="none" w:sz="0" w:space="0" w:color="auto"/>
        <w:bottom w:val="none" w:sz="0" w:space="0" w:color="auto"/>
        <w:right w:val="none" w:sz="0" w:space="0" w:color="auto"/>
      </w:divBdr>
      <w:divsChild>
        <w:div w:id="385954855">
          <w:marLeft w:val="0"/>
          <w:marRight w:val="0"/>
          <w:marTop w:val="0"/>
          <w:marBottom w:val="0"/>
          <w:divBdr>
            <w:top w:val="none" w:sz="0" w:space="0" w:color="auto"/>
            <w:left w:val="none" w:sz="0" w:space="0" w:color="auto"/>
            <w:bottom w:val="none" w:sz="0" w:space="0" w:color="auto"/>
            <w:right w:val="none" w:sz="0" w:space="0" w:color="auto"/>
          </w:divBdr>
        </w:div>
        <w:div w:id="1308587783">
          <w:marLeft w:val="0"/>
          <w:marRight w:val="0"/>
          <w:marTop w:val="120"/>
          <w:marBottom w:val="0"/>
          <w:divBdr>
            <w:top w:val="none" w:sz="0" w:space="0" w:color="auto"/>
            <w:left w:val="none" w:sz="0" w:space="0" w:color="auto"/>
            <w:bottom w:val="none" w:sz="0" w:space="0" w:color="auto"/>
            <w:right w:val="none" w:sz="0" w:space="0" w:color="auto"/>
          </w:divBdr>
          <w:divsChild>
            <w:div w:id="1423723157">
              <w:marLeft w:val="0"/>
              <w:marRight w:val="0"/>
              <w:marTop w:val="0"/>
              <w:marBottom w:val="0"/>
              <w:divBdr>
                <w:top w:val="none" w:sz="0" w:space="0" w:color="auto"/>
                <w:left w:val="none" w:sz="0" w:space="0" w:color="auto"/>
                <w:bottom w:val="none" w:sz="0" w:space="0" w:color="auto"/>
                <w:right w:val="none" w:sz="0" w:space="0" w:color="auto"/>
              </w:divBdr>
            </w:div>
          </w:divsChild>
        </w:div>
        <w:div w:id="1163739577">
          <w:marLeft w:val="0"/>
          <w:marRight w:val="0"/>
          <w:marTop w:val="120"/>
          <w:marBottom w:val="0"/>
          <w:divBdr>
            <w:top w:val="none" w:sz="0" w:space="0" w:color="auto"/>
            <w:left w:val="none" w:sz="0" w:space="0" w:color="auto"/>
            <w:bottom w:val="none" w:sz="0" w:space="0" w:color="auto"/>
            <w:right w:val="none" w:sz="0" w:space="0" w:color="auto"/>
          </w:divBdr>
          <w:divsChild>
            <w:div w:id="1769351589">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120"/>
          <w:marBottom w:val="0"/>
          <w:divBdr>
            <w:top w:val="none" w:sz="0" w:space="0" w:color="auto"/>
            <w:left w:val="none" w:sz="0" w:space="0" w:color="auto"/>
            <w:bottom w:val="none" w:sz="0" w:space="0" w:color="auto"/>
            <w:right w:val="none" w:sz="0" w:space="0" w:color="auto"/>
          </w:divBdr>
          <w:divsChild>
            <w:div w:id="16819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599">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556697064">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662</Words>
  <Characters>3777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4</cp:revision>
  <dcterms:created xsi:type="dcterms:W3CDTF">2024-02-14T10:06:00Z</dcterms:created>
  <dcterms:modified xsi:type="dcterms:W3CDTF">2024-02-14T10:11:00Z</dcterms:modified>
</cp:coreProperties>
</file>