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4577F" w14:textId="77777777"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660D55F0" w14:textId="77777777" w:rsidR="00237BEE" w:rsidRPr="00E2126D" w:rsidRDefault="009F27EC" w:rsidP="00237BEE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bookmarkStart w:id="0" w:name="OLE_LINK1"/>
      <w:bookmarkStart w:id="1" w:name="OLE_LINK2"/>
      <w:r w:rsidRPr="00E2126D">
        <w:rPr>
          <w:rFonts w:ascii="Arial" w:hAnsi="Arial" w:cs="Arial"/>
          <w:b/>
          <w:bCs/>
        </w:rPr>
        <w:t>Comunicato stampa</w:t>
      </w:r>
    </w:p>
    <w:p w14:paraId="28A6B7DF" w14:textId="77777777" w:rsidR="00237BEE" w:rsidRDefault="00237BEE" w:rsidP="00237BEE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bookmarkEnd w:id="0"/>
    <w:bookmarkEnd w:id="1"/>
    <w:p w14:paraId="1DAD6FD7" w14:textId="77777777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I dati emersi dallo studio del Consiglio e della Fondazione Nazionale dei Commercialisti “Analisi della pressione fiscale in Italia, in Europa e nel mondo. Struttura ed evoluzione dei principali indicatori di politica social</w:t>
      </w:r>
      <w:r w:rsidRPr="00E2126D">
        <w:rPr>
          <w:rFonts w:ascii="Arial" w:eastAsia="Times New Roman" w:hAnsi="Arial" w:cs="Arial"/>
          <w:b/>
          <w:bCs/>
          <w:color w:val="000000"/>
          <w:lang w:eastAsia="it-IT"/>
        </w:rPr>
        <w:t>e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”</w:t>
      </w:r>
    </w:p>
    <w:p w14:paraId="21A8525D" w14:textId="6BAA6D23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TASSE, L’ITALIA IL PAESE PIU’ TARTASSATO D’EUROPA: AL NETTO DEL SOMMERSO E DELL'ECONOMIA ILLEGALE (215 MILIARDI DI EURO, PARI AL 12% DEL PIL) LA PRESSIONE FISCALE</w:t>
      </w:r>
      <w:r w:rsidR="00912369">
        <w:rPr>
          <w:rFonts w:ascii="Arial" w:eastAsia="Times New Roman" w:hAnsi="Arial" w:cs="Arial"/>
          <w:b/>
          <w:bCs/>
          <w:color w:val="222222"/>
          <w:lang w:eastAsia="it-IT"/>
        </w:rPr>
        <w:t xml:space="preserve"> È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AL 48,2% </w:t>
      </w:r>
    </w:p>
    <w:p w14:paraId="516C89A8" w14:textId="2D35316E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b/>
          <w:bCs/>
          <w:color w:val="222222"/>
          <w:lang w:eastAsia="it-IT"/>
        </w:rPr>
      </w:pP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La pressione fiscale reale più alta del 5,8% di quella ufficiale (42,4%)</w:t>
      </w:r>
    </w:p>
    <w:p w14:paraId="4BE9E3FF" w14:textId="6CB62533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i/>
          <w:iCs/>
          <w:color w:val="222222"/>
          <w:lang w:eastAsia="it-IT"/>
        </w:rPr>
      </w:pP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Le famiglie ancora non hanno recuperato lo shock-fiscale 2012-2013. L'Italia al 128° posto nel mondo per efficienza del sistema tributario</w:t>
      </w:r>
    </w:p>
    <w:p w14:paraId="66DC920A" w14:textId="2528B0D8" w:rsidR="00E2126D" w:rsidRPr="00E2126D" w:rsidRDefault="00E2126D" w:rsidP="00E2126D">
      <w:pPr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i/>
          <w:iCs/>
          <w:color w:val="222222"/>
          <w:lang w:eastAsia="it-IT"/>
        </w:rPr>
        <w:t xml:space="preserve">Roma, </w:t>
      </w:r>
      <w:r w:rsidR="00577250">
        <w:rPr>
          <w:rFonts w:ascii="Arial" w:eastAsia="Times New Roman" w:hAnsi="Arial" w:cs="Arial"/>
          <w:i/>
          <w:iCs/>
          <w:color w:val="222222"/>
          <w:lang w:eastAsia="it-IT"/>
        </w:rPr>
        <w:t>1</w:t>
      </w:r>
      <w:r w:rsidR="00CA36FC">
        <w:rPr>
          <w:rFonts w:ascii="Arial" w:eastAsia="Times New Roman" w:hAnsi="Arial" w:cs="Arial"/>
          <w:i/>
          <w:iCs/>
          <w:color w:val="222222"/>
          <w:lang w:eastAsia="it-IT"/>
        </w:rPr>
        <w:t>2</w:t>
      </w:r>
      <w:bookmarkStart w:id="2" w:name="_GoBack"/>
      <w:bookmarkEnd w:id="2"/>
      <w:r w:rsidRPr="00E2126D">
        <w:rPr>
          <w:rFonts w:ascii="Arial" w:eastAsia="Times New Roman" w:hAnsi="Arial" w:cs="Arial"/>
          <w:i/>
          <w:iCs/>
          <w:color w:val="222222"/>
          <w:lang w:eastAsia="it-IT"/>
        </w:rPr>
        <w:t xml:space="preserve"> ottobre 2020 - 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Dopo cinque anni di ininterrotto calo della pressione fiscale in Italia,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nel 2019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si è verificato un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brusco incremento di 0,7 punti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</w:t>
      </w:r>
      <w:r>
        <w:rPr>
          <w:rFonts w:ascii="Arial" w:eastAsia="Times New Roman" w:hAnsi="Arial" w:cs="Arial"/>
          <w:color w:val="222222"/>
          <w:lang w:eastAsia="it-IT"/>
        </w:rPr>
        <w:t>che ha riportato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il </w:t>
      </w:r>
      <w:r>
        <w:rPr>
          <w:rFonts w:ascii="Arial" w:eastAsia="Times New Roman" w:hAnsi="Arial" w:cs="Arial"/>
          <w:color w:val="222222"/>
          <w:lang w:eastAsia="it-IT"/>
        </w:rPr>
        <w:t xml:space="preserve">suo 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livello complessivo indietro di quattro anni. Ma al netto del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sommerso e dell’economia illegale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pari al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12% del Pil, ovvero 215 miliardi di euro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 raggiunge il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48,2%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(+5,8% rispetto a quella ufficiale), la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posizione più alta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fra i paesi europei. I dati emergono dallo studio del Consiglio e della Fondazione Nazionale dei Commercialisti “Analisi della pressione fiscale in Italia, in Europa e nel mondo. Struttura ed evoluzione dei principali indicatori di politica sociale”.</w:t>
      </w:r>
    </w:p>
    <w:p w14:paraId="36DB72C2" w14:textId="77777777" w:rsidR="00E2126D" w:rsidRPr="00E2126D" w:rsidRDefault="00E2126D" w:rsidP="00E2126D">
      <w:pPr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1BCE5040" w14:textId="77777777" w:rsidR="00E2126D" w:rsidRPr="00E2126D" w:rsidRDefault="00E2126D" w:rsidP="00E2126D">
      <w:pPr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Dopo l’ultimo pesante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shock del 2012-2013 (+2,1%)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nel quinquennio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2014-2018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si è verificato un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significativo rientro (-1,7%)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che ha riguardato, però, prevalentemente le imprese, dal momento che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la pressione fiscale sulle famiglie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il cui gettito totale è pari a 323 miliardi di euro su un totale di 758,6 miliardi, non ha beneficiato di questa riduzione ed è, anzi,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aumentata</w:t>
      </w:r>
      <w:r w:rsidRPr="00E2126D">
        <w:rPr>
          <w:rFonts w:ascii="Arial" w:eastAsia="Times New Roman" w:hAnsi="Arial" w:cs="Arial"/>
          <w:color w:val="222222"/>
          <w:lang w:eastAsia="it-IT"/>
        </w:rPr>
        <w:t>. </w:t>
      </w:r>
    </w:p>
    <w:p w14:paraId="54E95D92" w14:textId="77777777" w:rsidR="00E2126D" w:rsidRPr="00E2126D" w:rsidRDefault="00E2126D" w:rsidP="00E2126D">
      <w:pPr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17B79E55" w14:textId="69353A30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La pressione fiscale sulle famiglie, calcolata mediante una rielaborazione </w:t>
      </w:r>
      <w:r>
        <w:rPr>
          <w:rFonts w:ascii="Arial" w:eastAsia="Times New Roman" w:hAnsi="Arial" w:cs="Arial"/>
          <w:color w:val="222222"/>
          <w:lang w:eastAsia="it-IT"/>
        </w:rPr>
        <w:t xml:space="preserve">della Fondazione nazionale dei commercialisti 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dei dati Istat, è risultata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nel 2019 pari al 18,0%</w:t>
      </w:r>
      <w:r w:rsidRPr="00E2126D">
        <w:rPr>
          <w:rFonts w:ascii="Arial" w:eastAsia="Times New Roman" w:hAnsi="Arial" w:cs="Arial"/>
          <w:color w:val="222222"/>
          <w:lang w:eastAsia="it-IT"/>
        </w:rPr>
        <w:t>, in crescita di 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0,3 punti rispetto al 2018</w:t>
      </w:r>
      <w:r w:rsidRPr="00E2126D">
        <w:rPr>
          <w:rFonts w:ascii="Arial" w:eastAsia="Times New Roman" w:hAnsi="Arial" w:cs="Arial"/>
          <w:color w:val="222222"/>
          <w:lang w:eastAsia="it-IT"/>
        </w:rPr>
        <w:t>. Dopo lo shock del 2012-2013, che ha visto la pressione fiscale italiana crescere di 2,1 punti percentuali, la pressione fiscale sulle famiglie si è ulteriormente incrementata per poi rientrare leggermente negli ultimi due anni e rimanere quindi invariata, mentre nello stesso periodo la pressione fiscale complessiva si è ridotta di un punto percentuale.  </w:t>
      </w:r>
    </w:p>
    <w:p w14:paraId="7A41D2C1" w14:textId="3F0B09C5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Nonostante gli interventi sul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cuneo fiscale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degli ultimi anni, l’indicatore Ocse che misura il cuneo pone l’Italia </w:t>
      </w:r>
      <w:r>
        <w:rPr>
          <w:rFonts w:ascii="Arial" w:eastAsia="Times New Roman" w:hAnsi="Arial" w:cs="Arial"/>
          <w:color w:val="222222"/>
          <w:lang w:eastAsia="it-IT"/>
        </w:rPr>
        <w:t>a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i primi posti in Europa: terzo posto per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dipendente single con il 48%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e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primo posto per dipendente sposato con due figli con il 39,2%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. </w:t>
      </w:r>
    </w:p>
    <w:p w14:paraId="4A3F38F0" w14:textId="77777777" w:rsidR="00E2126D" w:rsidRPr="00E2126D" w:rsidRDefault="00E2126D" w:rsidP="00E2126D">
      <w:pPr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> </w:t>
      </w:r>
    </w:p>
    <w:p w14:paraId="76782EB8" w14:textId="6857205A" w:rsidR="00E2126D" w:rsidRPr="00E2126D" w:rsidRDefault="00E2126D" w:rsidP="00E2126D">
      <w:pPr>
        <w:spacing w:after="161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Dall’analisi del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gettito tributario per singola imposta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si evince, inoltre, che le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prime 10 imposte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(su 88 voci totali desumibili dalle tabelle Istat) coprono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l’85% del totale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. Lo stesso dato era pari all’82,3% nel 1995. C’è una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tendenza alla concentrazione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del prelievo tributario sulle imposte principali. Ad esempio, l’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Irpef</w:t>
      </w:r>
      <w:r w:rsidRPr="00E2126D">
        <w:rPr>
          <w:rFonts w:ascii="Arial" w:eastAsia="Times New Roman" w:hAnsi="Arial" w:cs="Arial"/>
          <w:color w:val="222222"/>
          <w:lang w:eastAsia="it-IT"/>
        </w:rPr>
        <w:t>, che nel 2019 è la prima imposta con 176,8 miliardi di euro di gettito, copre il 34,2% del totale (+2% sul 1995), l’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Iva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che è la seconda imposta per gettito con 111,8 miliardi di euro, copre il 21,6% del totale (+1,3% sul </w:t>
      </w:r>
      <w:r w:rsidRPr="00E2126D">
        <w:rPr>
          <w:rFonts w:ascii="Arial" w:eastAsia="Times New Roman" w:hAnsi="Arial" w:cs="Arial"/>
          <w:color w:val="222222"/>
          <w:lang w:eastAsia="it-IT"/>
        </w:rPr>
        <w:lastRenderedPageBreak/>
        <w:t xml:space="preserve">1995). Insieme,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l’Irpef e l’Iva coprono il 55,9% del gettito tributario totale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(+3,3% sul 1995). </w:t>
      </w:r>
    </w:p>
    <w:p w14:paraId="7BA53962" w14:textId="77777777" w:rsidR="00E2126D" w:rsidRPr="00E2126D" w:rsidRDefault="00E2126D" w:rsidP="00E2126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Nel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confronto internazionale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la pressione fiscale si mostra </w:t>
      </w:r>
      <w:r w:rsidRPr="00E2126D">
        <w:rPr>
          <w:rFonts w:ascii="Arial" w:eastAsia="Times New Roman" w:hAnsi="Arial" w:cs="Arial"/>
          <w:b/>
          <w:bCs/>
          <w:color w:val="222222"/>
          <w:lang w:eastAsia="it-IT"/>
        </w:rPr>
        <w:t>sbilanciata dal lato del lavoro rispetto al consumo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. Infatti, nell’ultimo anno con dati disponibili per un confronto, il 2018, l’Italia si pone al </w:t>
      </w:r>
      <w:r w:rsidRPr="001E43D1">
        <w:rPr>
          <w:rFonts w:ascii="Arial" w:eastAsia="Times New Roman" w:hAnsi="Arial" w:cs="Arial"/>
          <w:b/>
          <w:bCs/>
          <w:color w:val="222222"/>
          <w:lang w:eastAsia="it-IT"/>
        </w:rPr>
        <w:t>7° posto nel primo caso e al 21° posto nel secondo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. In particolare, per il gettito Iva in rapporto al Pil, l’Italia si colloca al 26° posto nella graduatoria EU27, mentre per il gettito dell’imposta personale sul reddito, l’Italia si colloca al 5° posto. </w:t>
      </w:r>
    </w:p>
    <w:p w14:paraId="0C975E37" w14:textId="77777777" w:rsidR="00E2126D" w:rsidRPr="00E2126D" w:rsidRDefault="00E2126D" w:rsidP="00E2126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26060FF7" w14:textId="77777777" w:rsidR="00E2126D" w:rsidRPr="00E2126D" w:rsidRDefault="00E2126D" w:rsidP="00E2126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Nonostante l’eccezionale riduzione del </w:t>
      </w:r>
      <w:r w:rsidRPr="001E43D1">
        <w:rPr>
          <w:rFonts w:ascii="Arial" w:eastAsia="Times New Roman" w:hAnsi="Arial" w:cs="Arial"/>
          <w:b/>
          <w:bCs/>
          <w:color w:val="222222"/>
          <w:lang w:eastAsia="it-IT"/>
        </w:rPr>
        <w:t>Totale Tax Rate tra il 2006 e il 2020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 l’indicatore di pressione fiscale sui profitti societari calcolato dalla banca mondiale per l’Italia </w:t>
      </w:r>
      <w:r w:rsidRPr="001E43D1">
        <w:rPr>
          <w:rFonts w:ascii="Arial" w:eastAsia="Times New Roman" w:hAnsi="Arial" w:cs="Arial"/>
          <w:b/>
          <w:bCs/>
          <w:color w:val="222222"/>
          <w:lang w:eastAsia="it-IT"/>
        </w:rPr>
        <w:t>sfiora il 60%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risultando tra i più elevati in Europa. </w:t>
      </w:r>
    </w:p>
    <w:p w14:paraId="519F421C" w14:textId="77777777" w:rsidR="00E2126D" w:rsidRPr="00E2126D" w:rsidRDefault="00E2126D" w:rsidP="00E2126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65B7FBAB" w14:textId="77777777" w:rsidR="00E2126D" w:rsidRPr="00E2126D" w:rsidRDefault="00E2126D" w:rsidP="00E2126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Arial" w:eastAsia="Times New Roman" w:hAnsi="Arial" w:cs="Arial"/>
          <w:color w:val="222222"/>
          <w:lang w:eastAsia="it-IT"/>
        </w:rPr>
        <w:t xml:space="preserve">Particolarmente negativi risultano gli </w:t>
      </w:r>
      <w:r w:rsidRPr="006E0DCE">
        <w:rPr>
          <w:rFonts w:ascii="Arial" w:eastAsia="Times New Roman" w:hAnsi="Arial" w:cs="Arial"/>
          <w:b/>
          <w:bCs/>
          <w:color w:val="222222"/>
          <w:lang w:eastAsia="it-IT"/>
        </w:rPr>
        <w:t>indici di efficienza del sistema fiscale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misurati dalla Banca mondiale: nella speciale classifica del </w:t>
      </w:r>
      <w:r w:rsidRPr="006E0DCE">
        <w:rPr>
          <w:rFonts w:ascii="Arial" w:eastAsia="Times New Roman" w:hAnsi="Arial" w:cs="Arial"/>
          <w:b/>
          <w:bCs/>
          <w:color w:val="222222"/>
          <w:lang w:eastAsia="it-IT"/>
        </w:rPr>
        <w:t>Paying taxes 2020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, l’Italia </w:t>
      </w:r>
      <w:r w:rsidRPr="006E0DCE">
        <w:rPr>
          <w:rFonts w:ascii="Arial" w:eastAsia="Times New Roman" w:hAnsi="Arial" w:cs="Arial"/>
          <w:b/>
          <w:bCs/>
          <w:color w:val="222222"/>
          <w:lang w:eastAsia="it-IT"/>
        </w:rPr>
        <w:t>scende al 128° posto</w:t>
      </w:r>
      <w:r w:rsidRPr="00E2126D">
        <w:rPr>
          <w:rFonts w:ascii="Arial" w:eastAsia="Times New Roman" w:hAnsi="Arial" w:cs="Arial"/>
          <w:color w:val="222222"/>
          <w:lang w:eastAsia="it-IT"/>
        </w:rPr>
        <w:t xml:space="preserve"> gravata dai tempi lunghi stimati per gli adempimenti fiscali e per le fasi successive di gestione dei rimborsi e delle verifiche fiscali.</w:t>
      </w:r>
    </w:p>
    <w:p w14:paraId="5E3EC49B" w14:textId="77777777" w:rsidR="00E2126D" w:rsidRPr="00E2126D" w:rsidRDefault="00E2126D" w:rsidP="00E2126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29096752" w14:textId="77777777" w:rsidR="00E2126D" w:rsidRPr="00E2126D" w:rsidRDefault="00E2126D" w:rsidP="00E2126D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it-IT"/>
        </w:rPr>
      </w:pPr>
      <w:r w:rsidRPr="00E2126D">
        <w:rPr>
          <w:rFonts w:ascii="Calibri" w:eastAsia="Times New Roman" w:hAnsi="Calibri" w:cs="Calibri"/>
          <w:b/>
          <w:bCs/>
          <w:color w:val="222222"/>
          <w:lang w:eastAsia="it-IT"/>
        </w:rPr>
        <w:t> </w:t>
      </w:r>
    </w:p>
    <w:tbl>
      <w:tblPr>
        <w:tblW w:w="75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1316"/>
        <w:gridCol w:w="1136"/>
      </w:tblGrid>
      <w:tr w:rsidR="00E2126D" w:rsidRPr="00E2126D" w14:paraId="4A0D7939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75AD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INDICATORI PRINCIPALI</w:t>
            </w:r>
          </w:p>
        </w:tc>
        <w:tc>
          <w:tcPr>
            <w:tcW w:w="131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533A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2019</w:t>
            </w:r>
          </w:p>
        </w:tc>
        <w:tc>
          <w:tcPr>
            <w:tcW w:w="113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A8B1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RANK 2019</w:t>
            </w:r>
          </w:p>
        </w:tc>
      </w:tr>
      <w:tr w:rsidR="00E2126D" w:rsidRPr="00E2126D" w14:paraId="5B39076D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6158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Pressione fiscale apparente (Istat)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1414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42,4%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3C6E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6°</w:t>
            </w:r>
          </w:p>
        </w:tc>
      </w:tr>
      <w:tr w:rsidR="00E2126D" w:rsidRPr="00E2126D" w14:paraId="518A402D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B4AB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Pressione fiscale reale (Stima FNC)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D651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48,2%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C53B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1°</w:t>
            </w:r>
          </w:p>
        </w:tc>
      </w:tr>
      <w:tr w:rsidR="00E2126D" w:rsidRPr="00E2126D" w14:paraId="15070584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CCB9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Cuneo fiscale single senza figli (Ocse)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AEE6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48,0%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7149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3°</w:t>
            </w:r>
          </w:p>
        </w:tc>
      </w:tr>
      <w:tr w:rsidR="00E2126D" w:rsidRPr="00E2126D" w14:paraId="3B62B050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6681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Cuneo fiscale coppie monoreddito con figli (Ocse)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3CA1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39,2%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B731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1°</w:t>
            </w:r>
          </w:p>
        </w:tc>
      </w:tr>
      <w:tr w:rsidR="00E2126D" w:rsidRPr="00E2126D" w14:paraId="5AA275BE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BAE9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val="en-US"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Total Tax and Contribution Rates (World Bank and PwC)*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7248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59,1%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14BD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2°</w:t>
            </w:r>
          </w:p>
        </w:tc>
      </w:tr>
      <w:tr w:rsidR="00E2126D" w:rsidRPr="00E2126D" w14:paraId="1A308B08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E71F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val="en-US"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Easy of Doing Business (World Bank)*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55B9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72,9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5C4C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23°</w:t>
            </w:r>
          </w:p>
        </w:tc>
      </w:tr>
      <w:tr w:rsidR="00E2126D" w:rsidRPr="00E2126D" w14:paraId="378A8906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7DF5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val="en-US"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Paying Taxes (World Bank and PwC)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07DB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64,0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2CF4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27°</w:t>
            </w:r>
          </w:p>
        </w:tc>
      </w:tr>
      <w:tr w:rsidR="00E2126D" w:rsidRPr="00E2126D" w14:paraId="2C114B39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72BC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820C" w14:textId="77777777" w:rsidR="00E2126D" w:rsidRPr="00E2126D" w:rsidRDefault="00E2126D" w:rsidP="0034356A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C17B" w14:textId="77777777" w:rsidR="00E2126D" w:rsidRPr="00E2126D" w:rsidRDefault="00E2126D" w:rsidP="0034356A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2126D" w:rsidRPr="00E2126D" w14:paraId="0799D0A8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A4BF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it-IT"/>
              </w:rPr>
              <w:t xml:space="preserve">ALTRI </w:t>
            </w: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INDICATORI (Eurostat)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0176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2018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F00C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RANK 2018</w:t>
            </w:r>
          </w:p>
        </w:tc>
      </w:tr>
      <w:tr w:rsidR="00E2126D" w:rsidRPr="00E2126D" w14:paraId="777C7207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7DC5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Pressione fiscale sul consumo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C602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11,1%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1398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21°</w:t>
            </w:r>
          </w:p>
        </w:tc>
      </w:tr>
      <w:tr w:rsidR="00E2126D" w:rsidRPr="00E2126D" w14:paraId="1C68F555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5F24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Pressione fiscale sul lavoro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D7CC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21,0%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805C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7°</w:t>
            </w:r>
          </w:p>
        </w:tc>
      </w:tr>
      <w:tr w:rsidR="00E2126D" w:rsidRPr="00E2126D" w14:paraId="121663AB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824B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Pressione fiscale sul capitale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2481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9,6%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379D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5°</w:t>
            </w:r>
          </w:p>
        </w:tc>
      </w:tr>
      <w:tr w:rsidR="00E2126D" w:rsidRPr="00E2126D" w14:paraId="00E6CED3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6498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1461" w14:textId="77777777" w:rsidR="00E2126D" w:rsidRPr="00E2126D" w:rsidRDefault="00E2126D" w:rsidP="0034356A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9C23" w14:textId="77777777" w:rsidR="00E2126D" w:rsidRPr="00E2126D" w:rsidRDefault="00E2126D" w:rsidP="0034356A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2126D" w:rsidRPr="00E2126D" w14:paraId="6C5C665D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1B8B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INDICATORI SPECIFICI (Eurostat)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6163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2018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F9A8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RANK 2018</w:t>
            </w:r>
          </w:p>
        </w:tc>
      </w:tr>
      <w:tr w:rsidR="00E2126D" w:rsidRPr="00E2126D" w14:paraId="21011FBF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F0CD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val="en-US"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Value Added Tax (Aliquota standard)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BB6B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22,0%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D4A3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10°</w:t>
            </w:r>
          </w:p>
        </w:tc>
      </w:tr>
      <w:tr w:rsidR="00E2126D" w:rsidRPr="00E2126D" w14:paraId="592EF3FF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B482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Value Added Tax (% Pil)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BC0F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6,2%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8DAE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26°</w:t>
            </w:r>
          </w:p>
        </w:tc>
      </w:tr>
      <w:tr w:rsidR="00E2126D" w:rsidRPr="00E2126D" w14:paraId="1C927FB2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68C8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val="en-US"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Personal Income Tax  (Top statutory tax rates)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B71F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47,2%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DA7B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12°</w:t>
            </w:r>
          </w:p>
        </w:tc>
      </w:tr>
      <w:tr w:rsidR="00E2126D" w:rsidRPr="00E2126D" w14:paraId="50504C8E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8F6E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Personal Income Tax (% Pil)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388B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11,6%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EE34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5°</w:t>
            </w:r>
          </w:p>
        </w:tc>
      </w:tr>
      <w:tr w:rsidR="00E2126D" w:rsidRPr="00E2126D" w14:paraId="612AD2BF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D39B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Corporate tax Rate (Aliquota standard)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A9FE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28,7%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3017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5°</w:t>
            </w:r>
          </w:p>
        </w:tc>
      </w:tr>
      <w:tr w:rsidR="00E2126D" w:rsidRPr="00E2126D" w14:paraId="404D4B96" w14:textId="77777777" w:rsidTr="0034356A">
        <w:trPr>
          <w:trHeight w:val="288"/>
          <w:jc w:val="center"/>
        </w:trPr>
        <w:tc>
          <w:tcPr>
            <w:tcW w:w="50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D4E9" w14:textId="77777777" w:rsidR="00E2126D" w:rsidRPr="00E2126D" w:rsidRDefault="00E2126D" w:rsidP="0034356A">
            <w:pPr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Corporate tax Rate (% Pil)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BB39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1,9%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459B" w14:textId="77777777" w:rsidR="00E2126D" w:rsidRPr="00E2126D" w:rsidRDefault="00E2126D" w:rsidP="0034356A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2126D">
              <w:rPr>
                <w:rFonts w:ascii="Calibri" w:eastAsia="Times New Roman" w:hAnsi="Calibri" w:cs="Calibri"/>
                <w:color w:val="000000"/>
                <w:lang w:eastAsia="it-IT"/>
              </w:rPr>
              <w:t>24°</w:t>
            </w:r>
          </w:p>
        </w:tc>
      </w:tr>
    </w:tbl>
    <w:p w14:paraId="70599221" w14:textId="77777777" w:rsidR="00E2126D" w:rsidRPr="00E2126D" w:rsidRDefault="00E2126D" w:rsidP="00E2126D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it-IT"/>
        </w:rPr>
      </w:pPr>
      <w:r w:rsidRPr="00E2126D">
        <w:rPr>
          <w:rFonts w:ascii="Calibri" w:eastAsia="Times New Roman" w:hAnsi="Calibri" w:cs="Calibri"/>
          <w:b/>
          <w:bCs/>
          <w:color w:val="222222"/>
          <w:lang w:eastAsia="it-IT"/>
        </w:rPr>
        <w:lastRenderedPageBreak/>
        <w:br/>
      </w:r>
    </w:p>
    <w:p w14:paraId="3747F79F" w14:textId="77777777" w:rsidR="00E2126D" w:rsidRPr="00E2126D" w:rsidRDefault="00E2126D" w:rsidP="00E2126D">
      <w:pPr>
        <w:jc w:val="center"/>
        <w:rPr>
          <w:rFonts w:cstheme="minorHAnsi"/>
          <w:b/>
          <w:bCs/>
          <w:smallCaps/>
        </w:rPr>
      </w:pPr>
      <w:r w:rsidRPr="00E2126D">
        <w:rPr>
          <w:rFonts w:cstheme="minorHAnsi"/>
          <w:b/>
          <w:bCs/>
          <w:smallCaps/>
        </w:rPr>
        <w:t>Incremento della pressione fiscale italiana (famiglie e totale)</w:t>
      </w:r>
    </w:p>
    <w:p w14:paraId="5EF35D83" w14:textId="77777777" w:rsidR="00E2126D" w:rsidRPr="00E2126D" w:rsidRDefault="00E2126D" w:rsidP="00E2126D">
      <w:pPr>
        <w:jc w:val="center"/>
        <w:rPr>
          <w:rFonts w:cstheme="minorHAnsi"/>
          <w:b/>
          <w:bCs/>
          <w:smallCaps/>
        </w:rPr>
      </w:pPr>
      <w:r w:rsidRPr="00E2126D">
        <w:rPr>
          <w:rFonts w:cstheme="minorHAnsi"/>
          <w:b/>
          <w:bCs/>
          <w:smallCaps/>
        </w:rPr>
        <w:t>tra il 2011 e il 2019</w:t>
      </w:r>
    </w:p>
    <w:p w14:paraId="395740C2" w14:textId="77777777" w:rsidR="00E2126D" w:rsidRPr="00E2126D" w:rsidRDefault="00E2126D" w:rsidP="00E2126D">
      <w:pPr>
        <w:jc w:val="center"/>
        <w:rPr>
          <w:rFonts w:cstheme="minorHAnsi"/>
          <w:b/>
          <w:bCs/>
        </w:rPr>
      </w:pPr>
      <w:r w:rsidRPr="00E2126D">
        <w:rPr>
          <w:rFonts w:cstheme="minorHAnsi"/>
          <w:b/>
          <w:bCs/>
          <w:noProof/>
        </w:rPr>
        <w:drawing>
          <wp:inline distT="0" distB="0" distL="0" distR="0" wp14:anchorId="0F6627D1" wp14:editId="5D12356C">
            <wp:extent cx="4572635" cy="2743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C27F8" w14:textId="77777777" w:rsidR="00E2126D" w:rsidRPr="00E2126D" w:rsidRDefault="00E2126D" w:rsidP="00E2126D">
      <w:pPr>
        <w:spacing w:before="60"/>
        <w:ind w:left="851"/>
        <w:jc w:val="both"/>
        <w:rPr>
          <w:rFonts w:cstheme="minorHAnsi"/>
          <w:b/>
          <w:bCs/>
        </w:rPr>
      </w:pPr>
      <w:r w:rsidRPr="00E2126D">
        <w:rPr>
          <w:rFonts w:cstheme="minorHAnsi"/>
          <w:b/>
          <w:bCs/>
        </w:rPr>
        <w:br w:type="textWrapping" w:clear="all"/>
      </w:r>
      <w:r w:rsidRPr="00E2126D">
        <w:rPr>
          <w:rFonts w:cstheme="minorHAnsi"/>
          <w:i/>
          <w:iCs/>
        </w:rPr>
        <w:t>Fonte: Stima FNC su dati Istat</w:t>
      </w:r>
    </w:p>
    <w:p w14:paraId="61763899" w14:textId="77777777" w:rsidR="00E2126D" w:rsidRPr="00E2126D" w:rsidRDefault="00E2126D" w:rsidP="00E2126D"/>
    <w:p w14:paraId="0E84155D" w14:textId="341F0CB1" w:rsidR="00B3271C" w:rsidRPr="00E2126D" w:rsidRDefault="00A328D6" w:rsidP="00237BEE">
      <w:pPr>
        <w:jc w:val="both"/>
        <w:rPr>
          <w:rFonts w:ascii="Arial" w:hAnsi="Arial" w:cs="Arial"/>
        </w:rPr>
      </w:pPr>
    </w:p>
    <w:sectPr w:rsidR="00B3271C" w:rsidRPr="00E2126D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9FF09" w14:textId="77777777" w:rsidR="00A328D6" w:rsidRDefault="00A328D6" w:rsidP="00627996">
      <w:r>
        <w:separator/>
      </w:r>
    </w:p>
  </w:endnote>
  <w:endnote w:type="continuationSeparator" w:id="0">
    <w:p w14:paraId="0128953F" w14:textId="77777777" w:rsidR="00A328D6" w:rsidRDefault="00A328D6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5B083" w14:textId="77777777" w:rsidR="00A328D6" w:rsidRDefault="00A328D6" w:rsidP="00627996">
      <w:r>
        <w:separator/>
      </w:r>
    </w:p>
  </w:footnote>
  <w:footnote w:type="continuationSeparator" w:id="0">
    <w:p w14:paraId="048C84B1" w14:textId="77777777" w:rsidR="00A328D6" w:rsidRDefault="00A328D6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A558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CB0136F" wp14:editId="19E65DF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1E43D1"/>
    <w:rsid w:val="00206248"/>
    <w:rsid w:val="00237BEE"/>
    <w:rsid w:val="002B1170"/>
    <w:rsid w:val="002B1507"/>
    <w:rsid w:val="002C37B2"/>
    <w:rsid w:val="002D7594"/>
    <w:rsid w:val="002E31F2"/>
    <w:rsid w:val="003248FA"/>
    <w:rsid w:val="003C2FC0"/>
    <w:rsid w:val="003C60BF"/>
    <w:rsid w:val="00577250"/>
    <w:rsid w:val="00595991"/>
    <w:rsid w:val="00627996"/>
    <w:rsid w:val="00656CC5"/>
    <w:rsid w:val="006E0DCE"/>
    <w:rsid w:val="006E2909"/>
    <w:rsid w:val="00734687"/>
    <w:rsid w:val="00912369"/>
    <w:rsid w:val="00986D90"/>
    <w:rsid w:val="009D1104"/>
    <w:rsid w:val="009F27EC"/>
    <w:rsid w:val="00A328D6"/>
    <w:rsid w:val="00AC6BB0"/>
    <w:rsid w:val="00C810B8"/>
    <w:rsid w:val="00CA36FC"/>
    <w:rsid w:val="00D0285A"/>
    <w:rsid w:val="00D41E98"/>
    <w:rsid w:val="00DB4B99"/>
    <w:rsid w:val="00E2126D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065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5</cp:revision>
  <dcterms:created xsi:type="dcterms:W3CDTF">2020-10-12T07:33:00Z</dcterms:created>
  <dcterms:modified xsi:type="dcterms:W3CDTF">2020-10-12T07:37:00Z</dcterms:modified>
</cp:coreProperties>
</file>