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C52B" w14:textId="77777777" w:rsidR="00C065BA" w:rsidRPr="00DE239E" w:rsidRDefault="00C065BA" w:rsidP="00DE239E">
      <w:pPr>
        <w:pStyle w:val="NormaleWeb"/>
        <w:jc w:val="both"/>
        <w:rPr>
          <w:rFonts w:ascii="Arial" w:hAnsi="Arial" w:cs="Arial"/>
          <w:b/>
          <w:bCs/>
          <w:color w:val="000000"/>
        </w:rPr>
      </w:pPr>
    </w:p>
    <w:p w14:paraId="3ED95CF4" w14:textId="77777777" w:rsidR="0072401A" w:rsidRPr="007A077D" w:rsidRDefault="0072401A" w:rsidP="00DE239E">
      <w:pPr>
        <w:pStyle w:val="NormaleWeb"/>
        <w:jc w:val="center"/>
        <w:rPr>
          <w:rFonts w:ascii="Arial" w:hAnsi="Arial" w:cs="Arial"/>
          <w:sz w:val="23"/>
          <w:szCs w:val="23"/>
        </w:rPr>
      </w:pPr>
      <w:r w:rsidRPr="007A077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3CFC300" w14:textId="7D54955E" w:rsidR="0072401A" w:rsidRPr="007A077D" w:rsidRDefault="0072401A" w:rsidP="00DE239E">
      <w:pPr>
        <w:pStyle w:val="NormaleWeb"/>
        <w:jc w:val="center"/>
        <w:rPr>
          <w:rFonts w:ascii="Arial" w:hAnsi="Arial" w:cs="Arial"/>
          <w:sz w:val="23"/>
          <w:szCs w:val="23"/>
        </w:rPr>
      </w:pPr>
    </w:p>
    <w:p w14:paraId="0A36C21A" w14:textId="77777777" w:rsidR="0072401A" w:rsidRPr="007A077D" w:rsidRDefault="0072401A" w:rsidP="00DE239E">
      <w:pPr>
        <w:pStyle w:val="elementtoproof"/>
        <w:shd w:val="clear" w:color="auto" w:fill="FFFFFF"/>
        <w:jc w:val="center"/>
        <w:rPr>
          <w:rFonts w:ascii="Arial" w:hAnsi="Arial" w:cs="Arial"/>
          <w:sz w:val="23"/>
          <w:szCs w:val="23"/>
        </w:rPr>
      </w:pPr>
    </w:p>
    <w:p w14:paraId="7BC6D7B2" w14:textId="3D92A7B9" w:rsidR="007A077D" w:rsidRDefault="002379B9" w:rsidP="00DE239E">
      <w:pPr>
        <w:pStyle w:val="elementtoproof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ANTIRICICLAGGIO, COMMERCIALISTI A UNIONCAMERE: “SU TITOLARI EFFETTIVI INDICAZIONI UNITARIE PER MODALITÀ OPERATIVE OMOGENEE”</w:t>
      </w:r>
    </w:p>
    <w:p w14:paraId="3782FA89" w14:textId="77777777" w:rsidR="002379B9" w:rsidRPr="007A077D" w:rsidRDefault="002379B9" w:rsidP="00DE239E">
      <w:pPr>
        <w:pStyle w:val="elementtoproof"/>
        <w:shd w:val="clear" w:color="auto" w:fill="FFFFFF"/>
        <w:jc w:val="center"/>
        <w:rPr>
          <w:rFonts w:ascii="Arial" w:hAnsi="Arial" w:cs="Arial"/>
          <w:b/>
          <w:bCs/>
          <w:sz w:val="23"/>
          <w:szCs w:val="23"/>
        </w:rPr>
      </w:pPr>
    </w:p>
    <w:p w14:paraId="3633FD1F" w14:textId="00624C74" w:rsidR="007A077D" w:rsidRPr="007A077D" w:rsidRDefault="007A077D" w:rsidP="007A077D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7A077D">
        <w:rPr>
          <w:rFonts w:ascii="Arial" w:hAnsi="Arial" w:cs="Arial"/>
          <w:b/>
          <w:bCs/>
          <w:sz w:val="23"/>
          <w:szCs w:val="23"/>
        </w:rPr>
        <w:t>L</w:t>
      </w:r>
      <w:r w:rsidR="002379B9">
        <w:rPr>
          <w:rFonts w:ascii="Arial" w:hAnsi="Arial" w:cs="Arial"/>
          <w:b/>
          <w:bCs/>
          <w:sz w:val="23"/>
          <w:szCs w:val="23"/>
        </w:rPr>
        <w:t>a</w:t>
      </w:r>
      <w:r w:rsidRPr="007A077D">
        <w:rPr>
          <w:rFonts w:ascii="Arial" w:hAnsi="Arial" w:cs="Arial"/>
          <w:b/>
          <w:bCs/>
          <w:sz w:val="23"/>
          <w:szCs w:val="23"/>
        </w:rPr>
        <w:t xml:space="preserve"> </w:t>
      </w:r>
      <w:r w:rsidR="002F527A">
        <w:rPr>
          <w:rFonts w:ascii="Arial" w:hAnsi="Arial" w:cs="Arial"/>
          <w:b/>
          <w:bCs/>
          <w:sz w:val="23"/>
          <w:szCs w:val="23"/>
        </w:rPr>
        <w:t>richiesta del</w:t>
      </w:r>
      <w:r w:rsidRPr="007A077D">
        <w:rPr>
          <w:rFonts w:ascii="Arial" w:hAnsi="Arial" w:cs="Arial"/>
          <w:b/>
          <w:bCs/>
          <w:sz w:val="23"/>
          <w:szCs w:val="23"/>
        </w:rPr>
        <w:t xml:space="preserve"> presidente del </w:t>
      </w:r>
      <w:r w:rsidRPr="007A077D">
        <w:rPr>
          <w:rFonts w:ascii="Arial" w:hAnsi="Arial" w:cs="Arial"/>
          <w:b/>
          <w:bCs/>
          <w:color w:val="000000"/>
          <w:sz w:val="23"/>
          <w:szCs w:val="23"/>
        </w:rPr>
        <w:t>Consiglio nazionale dei commercialisti, Elbano de Nuccio</w:t>
      </w:r>
      <w:r w:rsidR="002379B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2F527A">
        <w:rPr>
          <w:rFonts w:ascii="Arial" w:hAnsi="Arial" w:cs="Arial"/>
          <w:b/>
          <w:bCs/>
          <w:sz w:val="23"/>
          <w:szCs w:val="23"/>
        </w:rPr>
        <w:t>per “</w:t>
      </w:r>
      <w:r w:rsidR="0011043D">
        <w:rPr>
          <w:rFonts w:ascii="Arial" w:hAnsi="Arial" w:cs="Arial"/>
          <w:b/>
          <w:bCs/>
          <w:sz w:val="23"/>
          <w:szCs w:val="23"/>
        </w:rPr>
        <w:t>favo</w:t>
      </w:r>
      <w:r w:rsidR="00B66501">
        <w:rPr>
          <w:rFonts w:ascii="Arial" w:hAnsi="Arial" w:cs="Arial"/>
          <w:b/>
          <w:bCs/>
          <w:sz w:val="23"/>
          <w:szCs w:val="23"/>
        </w:rPr>
        <w:t>ri</w:t>
      </w:r>
      <w:r w:rsidR="0011043D">
        <w:rPr>
          <w:rFonts w:ascii="Arial" w:hAnsi="Arial" w:cs="Arial"/>
          <w:b/>
          <w:bCs/>
          <w:sz w:val="23"/>
          <w:szCs w:val="23"/>
        </w:rPr>
        <w:t>re</w:t>
      </w:r>
      <w:r w:rsidRPr="007A077D">
        <w:rPr>
          <w:rFonts w:ascii="Arial" w:hAnsi="Arial" w:cs="Arial"/>
          <w:b/>
          <w:bCs/>
          <w:sz w:val="23"/>
          <w:szCs w:val="23"/>
        </w:rPr>
        <w:t xml:space="preserve"> imprese e professionisti</w:t>
      </w:r>
      <w:r w:rsidR="002F527A">
        <w:rPr>
          <w:rFonts w:ascii="Arial" w:hAnsi="Arial" w:cs="Arial"/>
          <w:b/>
          <w:bCs/>
          <w:sz w:val="23"/>
          <w:szCs w:val="23"/>
        </w:rPr>
        <w:t>”</w:t>
      </w:r>
    </w:p>
    <w:p w14:paraId="4A7320D4" w14:textId="77777777" w:rsidR="00A6351E" w:rsidRPr="007A077D" w:rsidRDefault="00A6351E" w:rsidP="00DE239E">
      <w:pPr>
        <w:pStyle w:val="elementtoproof"/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45BBF311" w14:textId="150B8626" w:rsidR="007F34BE" w:rsidRPr="007A077D" w:rsidRDefault="00392FBF" w:rsidP="00DE239E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A077D">
        <w:rPr>
          <w:rFonts w:ascii="Arial" w:hAnsi="Arial" w:cs="Arial"/>
          <w:i/>
          <w:iCs/>
          <w:color w:val="000000"/>
          <w:sz w:val="23"/>
          <w:szCs w:val="23"/>
        </w:rPr>
        <w:t>Roma</w:t>
      </w:r>
      <w:r w:rsidR="0072401A" w:rsidRPr="007A077D">
        <w:rPr>
          <w:rFonts w:ascii="Arial" w:hAnsi="Arial" w:cs="Arial"/>
          <w:i/>
          <w:iCs/>
          <w:color w:val="000000"/>
          <w:sz w:val="23"/>
          <w:szCs w:val="23"/>
        </w:rPr>
        <w:t>, 1</w:t>
      </w:r>
      <w:r w:rsidR="00A6351E" w:rsidRPr="007A077D">
        <w:rPr>
          <w:rFonts w:ascii="Arial" w:hAnsi="Arial" w:cs="Arial"/>
          <w:i/>
          <w:iCs/>
          <w:color w:val="000000"/>
          <w:sz w:val="23"/>
          <w:szCs w:val="23"/>
        </w:rPr>
        <w:t>2</w:t>
      </w:r>
      <w:r w:rsidR="0072401A" w:rsidRPr="007A077D">
        <w:rPr>
          <w:rFonts w:ascii="Arial" w:hAnsi="Arial" w:cs="Arial"/>
          <w:i/>
          <w:iCs/>
          <w:color w:val="000000"/>
          <w:sz w:val="23"/>
          <w:szCs w:val="23"/>
        </w:rPr>
        <w:t xml:space="preserve"> aprile 2024 –</w:t>
      </w:r>
      <w:r w:rsidR="0072401A" w:rsidRPr="007A077D">
        <w:rPr>
          <w:rFonts w:ascii="Arial" w:hAnsi="Arial" w:cs="Arial"/>
          <w:color w:val="000000"/>
          <w:sz w:val="23"/>
          <w:szCs w:val="23"/>
        </w:rPr>
        <w:t> </w:t>
      </w:r>
      <w:r w:rsidR="007F34BE" w:rsidRPr="007A077D">
        <w:rPr>
          <w:rFonts w:ascii="Arial" w:hAnsi="Arial" w:cs="Arial"/>
          <w:sz w:val="23"/>
          <w:szCs w:val="23"/>
        </w:rPr>
        <w:t xml:space="preserve">Fornire alle </w:t>
      </w:r>
      <w:r w:rsidR="00DE239E" w:rsidRPr="007A077D">
        <w:rPr>
          <w:rFonts w:ascii="Arial" w:hAnsi="Arial" w:cs="Arial"/>
          <w:sz w:val="23"/>
          <w:szCs w:val="23"/>
        </w:rPr>
        <w:t>C</w:t>
      </w:r>
      <w:r w:rsidR="007F34BE" w:rsidRPr="007A077D">
        <w:rPr>
          <w:rFonts w:ascii="Arial" w:hAnsi="Arial" w:cs="Arial"/>
          <w:sz w:val="23"/>
          <w:szCs w:val="23"/>
        </w:rPr>
        <w:t xml:space="preserve">amere di commercio territoriali indicazioni unitarie per la comunicazione al Registro delle imprese della titolarità effettiva in modo tale da garantire </w:t>
      </w:r>
      <w:r w:rsidR="007F34BE" w:rsidRPr="007A077D">
        <w:rPr>
          <w:rFonts w:ascii="Arial" w:hAnsi="Arial" w:cs="Arial"/>
          <w:b/>
          <w:bCs/>
          <w:sz w:val="23"/>
          <w:szCs w:val="23"/>
        </w:rPr>
        <w:t>modalità operative omogenee</w:t>
      </w:r>
      <w:r w:rsidR="007F34BE" w:rsidRPr="007A077D">
        <w:rPr>
          <w:rFonts w:ascii="Arial" w:hAnsi="Arial" w:cs="Arial"/>
          <w:sz w:val="23"/>
          <w:szCs w:val="23"/>
        </w:rPr>
        <w:t xml:space="preserve"> sul tutto il territorio nazionale, </w:t>
      </w:r>
      <w:r w:rsidR="007F34BE" w:rsidRPr="007A077D">
        <w:rPr>
          <w:rFonts w:ascii="Arial" w:hAnsi="Arial" w:cs="Arial"/>
          <w:b/>
          <w:bCs/>
          <w:sz w:val="23"/>
          <w:szCs w:val="23"/>
        </w:rPr>
        <w:t>a beneficio delle imprese e dei professionisti coinvolti</w:t>
      </w:r>
      <w:r w:rsidR="007F34BE" w:rsidRPr="007A077D">
        <w:rPr>
          <w:rFonts w:ascii="Arial" w:hAnsi="Arial" w:cs="Arial"/>
          <w:sz w:val="23"/>
          <w:szCs w:val="23"/>
        </w:rPr>
        <w:t xml:space="preserve">. Lo scrive il presidente del </w:t>
      </w:r>
      <w:r w:rsidR="007F34BE" w:rsidRPr="007A077D">
        <w:rPr>
          <w:rFonts w:ascii="Arial" w:hAnsi="Arial" w:cs="Arial"/>
          <w:color w:val="000000"/>
          <w:sz w:val="23"/>
          <w:szCs w:val="23"/>
        </w:rPr>
        <w:t xml:space="preserve">Consiglio nazionale dei commercialisti, </w:t>
      </w:r>
      <w:r w:rsidR="007F34BE" w:rsidRPr="007A077D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="007F34BE" w:rsidRPr="007A077D">
        <w:rPr>
          <w:rFonts w:ascii="Arial" w:hAnsi="Arial" w:cs="Arial"/>
          <w:color w:val="000000"/>
          <w:sz w:val="23"/>
          <w:szCs w:val="23"/>
        </w:rPr>
        <w:t xml:space="preserve">, in una lettera inviata al presidente di Unioncamere, Andrea Prete. </w:t>
      </w:r>
    </w:p>
    <w:p w14:paraId="08ED6230" w14:textId="77777777" w:rsidR="007F34BE" w:rsidRPr="007A077D" w:rsidRDefault="007F34BE" w:rsidP="00DE239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B8434B0" w14:textId="2908EBD2" w:rsidR="00392FBF" w:rsidRPr="007A077D" w:rsidRDefault="007F34BE" w:rsidP="00DE239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A077D">
        <w:rPr>
          <w:rFonts w:ascii="Arial" w:hAnsi="Arial" w:cs="Arial"/>
          <w:color w:val="000000"/>
          <w:sz w:val="23"/>
          <w:szCs w:val="23"/>
        </w:rPr>
        <w:t xml:space="preserve">La missiva arriva in seguito alla </w:t>
      </w:r>
      <w:r w:rsidRPr="006F702A">
        <w:rPr>
          <w:rFonts w:ascii="Arial" w:hAnsi="Arial" w:cs="Arial"/>
          <w:b/>
          <w:bCs/>
          <w:color w:val="000000"/>
          <w:sz w:val="23"/>
          <w:szCs w:val="23"/>
        </w:rPr>
        <w:t>nota</w:t>
      </w:r>
      <w:r w:rsidR="00DE239E" w:rsidRPr="006F702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E239E" w:rsidRPr="007A077D">
        <w:rPr>
          <w:rFonts w:ascii="Arial" w:hAnsi="Arial" w:cs="Arial"/>
          <w:color w:val="000000"/>
          <w:sz w:val="23"/>
          <w:szCs w:val="23"/>
        </w:rPr>
        <w:t>inviata</w:t>
      </w:r>
      <w:r w:rsidRPr="007A077D">
        <w:rPr>
          <w:rFonts w:ascii="Arial" w:hAnsi="Arial" w:cs="Arial"/>
          <w:color w:val="000000"/>
          <w:sz w:val="23"/>
          <w:szCs w:val="23"/>
        </w:rPr>
        <w:t xml:space="preserve"> ieri d</w:t>
      </w:r>
      <w:r w:rsidR="00DE239E" w:rsidRPr="007A077D">
        <w:rPr>
          <w:rFonts w:ascii="Arial" w:hAnsi="Arial" w:cs="Arial"/>
          <w:color w:val="000000"/>
          <w:sz w:val="23"/>
          <w:szCs w:val="23"/>
        </w:rPr>
        <w:t>a</w:t>
      </w:r>
      <w:r w:rsidR="00392FBF" w:rsidRPr="007A077D">
        <w:rPr>
          <w:rFonts w:ascii="Arial" w:hAnsi="Arial" w:cs="Arial"/>
          <w:color w:val="000000"/>
          <w:sz w:val="23"/>
          <w:szCs w:val="23"/>
        </w:rPr>
        <w:t xml:space="preserve">l </w:t>
      </w:r>
      <w:r w:rsidR="00392FBF" w:rsidRPr="006F702A">
        <w:rPr>
          <w:rFonts w:ascii="Arial" w:hAnsi="Arial" w:cs="Arial"/>
          <w:b/>
          <w:bCs/>
          <w:color w:val="000000"/>
          <w:sz w:val="23"/>
          <w:szCs w:val="23"/>
        </w:rPr>
        <w:t xml:space="preserve">Ministero delle </w:t>
      </w:r>
      <w:r w:rsidR="00DE239E" w:rsidRPr="006F702A">
        <w:rPr>
          <w:rFonts w:ascii="Arial" w:hAnsi="Arial" w:cs="Arial"/>
          <w:b/>
          <w:bCs/>
          <w:color w:val="000000"/>
          <w:sz w:val="23"/>
          <w:szCs w:val="23"/>
        </w:rPr>
        <w:t>I</w:t>
      </w:r>
      <w:r w:rsidR="00392FBF" w:rsidRPr="006F702A">
        <w:rPr>
          <w:rFonts w:ascii="Arial" w:hAnsi="Arial" w:cs="Arial"/>
          <w:b/>
          <w:bCs/>
          <w:color w:val="000000"/>
          <w:sz w:val="23"/>
          <w:szCs w:val="23"/>
        </w:rPr>
        <w:t xml:space="preserve">mprese e del </w:t>
      </w:r>
      <w:r w:rsidR="00DE239E" w:rsidRPr="006F702A">
        <w:rPr>
          <w:rFonts w:ascii="Arial" w:hAnsi="Arial" w:cs="Arial"/>
          <w:b/>
          <w:bCs/>
          <w:color w:val="000000"/>
          <w:sz w:val="23"/>
          <w:szCs w:val="23"/>
        </w:rPr>
        <w:t>M</w:t>
      </w:r>
      <w:r w:rsidR="00392FBF" w:rsidRPr="006F702A">
        <w:rPr>
          <w:rFonts w:ascii="Arial" w:hAnsi="Arial" w:cs="Arial"/>
          <w:b/>
          <w:bCs/>
          <w:color w:val="000000"/>
          <w:sz w:val="23"/>
          <w:szCs w:val="23"/>
        </w:rPr>
        <w:t>ade in Italy</w:t>
      </w:r>
      <w:r w:rsidRPr="007A077D">
        <w:rPr>
          <w:rFonts w:ascii="Arial" w:hAnsi="Arial" w:cs="Arial"/>
          <w:color w:val="000000"/>
          <w:sz w:val="23"/>
          <w:szCs w:val="23"/>
        </w:rPr>
        <w:t xml:space="preserve"> </w:t>
      </w:r>
      <w:r w:rsidR="00DE239E" w:rsidRPr="007A077D">
        <w:rPr>
          <w:rFonts w:ascii="Arial" w:hAnsi="Arial" w:cs="Arial"/>
          <w:color w:val="000000"/>
          <w:sz w:val="23"/>
          <w:szCs w:val="23"/>
        </w:rPr>
        <w:t>agli enti camerali in cui</w:t>
      </w:r>
      <w:r w:rsidR="00392FBF" w:rsidRPr="007A077D">
        <w:rPr>
          <w:rFonts w:ascii="Arial" w:hAnsi="Arial" w:cs="Arial"/>
          <w:color w:val="000000"/>
          <w:sz w:val="23"/>
          <w:szCs w:val="23"/>
        </w:rPr>
        <w:t xml:space="preserve">, pur confermando </w:t>
      </w:r>
      <w:r w:rsidR="00392FBF" w:rsidRPr="007A077D">
        <w:rPr>
          <w:rFonts w:ascii="Arial" w:hAnsi="Arial" w:cs="Arial"/>
          <w:sz w:val="23"/>
          <w:szCs w:val="23"/>
        </w:rPr>
        <w:t>la scadenza dell</w:t>
      </w:r>
      <w:r w:rsidR="00DE239E" w:rsidRPr="007A077D">
        <w:rPr>
          <w:rFonts w:ascii="Arial" w:hAnsi="Arial" w:cs="Arial"/>
          <w:sz w:val="23"/>
          <w:szCs w:val="23"/>
        </w:rPr>
        <w:t>’</w:t>
      </w:r>
      <w:r w:rsidR="00392FBF" w:rsidRPr="007A077D">
        <w:rPr>
          <w:rFonts w:ascii="Arial" w:hAnsi="Arial" w:cs="Arial"/>
          <w:sz w:val="23"/>
          <w:szCs w:val="23"/>
        </w:rPr>
        <w:t>11 aprile per le comunicazioni al Registro dei Titolari effettivi,</w:t>
      </w:r>
      <w:r w:rsidR="00AB2FDE" w:rsidRPr="007A077D">
        <w:rPr>
          <w:rFonts w:ascii="Arial" w:hAnsi="Arial" w:cs="Arial"/>
          <w:sz w:val="23"/>
          <w:szCs w:val="23"/>
        </w:rPr>
        <w:t xml:space="preserve"> demanda </w:t>
      </w:r>
      <w:r w:rsidR="00392FBF" w:rsidRPr="007A077D">
        <w:rPr>
          <w:rFonts w:ascii="Arial" w:hAnsi="Arial" w:cs="Arial"/>
          <w:sz w:val="23"/>
          <w:szCs w:val="23"/>
        </w:rPr>
        <w:t xml:space="preserve">al </w:t>
      </w:r>
      <w:r w:rsidR="00392FBF" w:rsidRPr="006F702A">
        <w:rPr>
          <w:rFonts w:ascii="Arial" w:hAnsi="Arial" w:cs="Arial"/>
          <w:b/>
          <w:bCs/>
          <w:sz w:val="23"/>
          <w:szCs w:val="23"/>
        </w:rPr>
        <w:t>prudente apprezzamento de</w:t>
      </w:r>
      <w:r w:rsidRPr="006F702A">
        <w:rPr>
          <w:rFonts w:ascii="Arial" w:hAnsi="Arial" w:cs="Arial"/>
          <w:b/>
          <w:bCs/>
          <w:sz w:val="23"/>
          <w:szCs w:val="23"/>
        </w:rPr>
        <w:t xml:space="preserve">lle Camere di commercio territoriali </w:t>
      </w:r>
      <w:r w:rsidR="00392FBF" w:rsidRPr="006F702A">
        <w:rPr>
          <w:rFonts w:ascii="Arial" w:hAnsi="Arial" w:cs="Arial"/>
          <w:b/>
          <w:bCs/>
          <w:sz w:val="23"/>
          <w:szCs w:val="23"/>
        </w:rPr>
        <w:t>ogni iniziativa</w:t>
      </w:r>
      <w:r w:rsidR="00392FBF" w:rsidRPr="007A077D">
        <w:rPr>
          <w:rFonts w:ascii="Arial" w:hAnsi="Arial" w:cs="Arial"/>
          <w:sz w:val="23"/>
          <w:szCs w:val="23"/>
        </w:rPr>
        <w:t xml:space="preserve"> utile ad agevolare il corretto adempimento dei suddetti obblighi di comunicazione</w:t>
      </w:r>
      <w:r w:rsidR="007B250D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in ragione della complessa vicenda giudiziale intercorsa e del ristretto lasso temporale residuo.</w:t>
      </w:r>
    </w:p>
    <w:p w14:paraId="67E5514A" w14:textId="77777777" w:rsidR="00392FBF" w:rsidRPr="007A077D" w:rsidRDefault="00392FBF" w:rsidP="00DE239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EB718BE" w14:textId="27366942" w:rsidR="00A4643A" w:rsidRPr="007A077D" w:rsidRDefault="00A4643A" w:rsidP="00DE239E">
      <w:pPr>
        <w:jc w:val="both"/>
        <w:rPr>
          <w:rFonts w:ascii="Arial" w:hAnsi="Arial" w:cs="Arial"/>
          <w:sz w:val="23"/>
          <w:szCs w:val="23"/>
        </w:rPr>
      </w:pPr>
      <w:r w:rsidRPr="007A077D">
        <w:rPr>
          <w:rFonts w:ascii="Arial" w:hAnsi="Arial" w:cs="Arial"/>
          <w:sz w:val="23"/>
          <w:szCs w:val="23"/>
        </w:rPr>
        <w:t>La nota del Ministero</w:t>
      </w:r>
      <w:r w:rsidR="007B250D" w:rsidRPr="007A077D">
        <w:rPr>
          <w:rFonts w:ascii="Arial" w:hAnsi="Arial" w:cs="Arial"/>
          <w:sz w:val="23"/>
          <w:szCs w:val="23"/>
        </w:rPr>
        <w:t xml:space="preserve">, </w:t>
      </w:r>
      <w:r w:rsidR="00DE239E" w:rsidRPr="007A077D">
        <w:rPr>
          <w:rFonts w:ascii="Arial" w:hAnsi="Arial" w:cs="Arial"/>
          <w:sz w:val="23"/>
          <w:szCs w:val="23"/>
        </w:rPr>
        <w:t xml:space="preserve">a sua volta, </w:t>
      </w:r>
      <w:r w:rsidRPr="007A077D">
        <w:rPr>
          <w:rFonts w:ascii="Arial" w:hAnsi="Arial" w:cs="Arial"/>
          <w:sz w:val="23"/>
          <w:szCs w:val="23"/>
        </w:rPr>
        <w:t xml:space="preserve">giunge in seguito ad una lettera che, nei giorni scorsi, lo stesso Consiglio nazionale dei commercialisti </w:t>
      </w:r>
      <w:r w:rsidR="00F0056B" w:rsidRPr="007A077D">
        <w:rPr>
          <w:rFonts w:ascii="Arial" w:hAnsi="Arial" w:cs="Arial"/>
          <w:sz w:val="23"/>
          <w:szCs w:val="23"/>
        </w:rPr>
        <w:t>ha</w:t>
      </w:r>
      <w:r w:rsidRPr="007A077D">
        <w:rPr>
          <w:rFonts w:ascii="Arial" w:hAnsi="Arial" w:cs="Arial"/>
          <w:sz w:val="23"/>
          <w:szCs w:val="23"/>
        </w:rPr>
        <w:t xml:space="preserve"> inviato al Ministro dell’Economia</w:t>
      </w:r>
      <w:r w:rsidRPr="007A077D">
        <w:rPr>
          <w:rFonts w:ascii="Arial" w:hAnsi="Arial" w:cs="Arial"/>
          <w:b/>
          <w:bCs/>
          <w:sz w:val="23"/>
          <w:szCs w:val="23"/>
        </w:rPr>
        <w:t>, Giancarlo Giorgetti</w:t>
      </w:r>
      <w:r w:rsidRPr="007A077D">
        <w:rPr>
          <w:rFonts w:ascii="Arial" w:hAnsi="Arial" w:cs="Arial"/>
          <w:sz w:val="23"/>
          <w:szCs w:val="23"/>
        </w:rPr>
        <w:t>, e al Ministro delle Imprese e del Made in Italy</w:t>
      </w:r>
      <w:r w:rsidR="00F0056B" w:rsidRPr="007A077D">
        <w:rPr>
          <w:rFonts w:ascii="Arial" w:hAnsi="Arial" w:cs="Arial"/>
          <w:sz w:val="23"/>
          <w:szCs w:val="23"/>
        </w:rPr>
        <w:t xml:space="preserve"> (MIMIT)</w:t>
      </w:r>
      <w:r w:rsidRPr="007A077D">
        <w:rPr>
          <w:rFonts w:ascii="Arial" w:hAnsi="Arial" w:cs="Arial"/>
          <w:sz w:val="23"/>
          <w:szCs w:val="23"/>
        </w:rPr>
        <w:t xml:space="preserve">, </w:t>
      </w:r>
      <w:r w:rsidRPr="007A077D">
        <w:rPr>
          <w:rFonts w:ascii="Arial" w:hAnsi="Arial" w:cs="Arial"/>
          <w:b/>
          <w:bCs/>
          <w:sz w:val="23"/>
          <w:szCs w:val="23"/>
        </w:rPr>
        <w:t>Adolfo Urso</w:t>
      </w:r>
      <w:r w:rsidRPr="007A077D">
        <w:rPr>
          <w:rFonts w:ascii="Arial" w:hAnsi="Arial" w:cs="Arial"/>
          <w:sz w:val="23"/>
          <w:szCs w:val="23"/>
        </w:rPr>
        <w:t xml:space="preserve">, per </w:t>
      </w:r>
      <w:r w:rsidR="007A077D">
        <w:rPr>
          <w:rFonts w:ascii="Arial" w:hAnsi="Arial" w:cs="Arial"/>
          <w:sz w:val="23"/>
          <w:szCs w:val="23"/>
        </w:rPr>
        <w:t>ri</w:t>
      </w:r>
      <w:r w:rsidRPr="007A077D">
        <w:rPr>
          <w:rFonts w:ascii="Arial" w:hAnsi="Arial" w:cs="Arial"/>
          <w:sz w:val="23"/>
          <w:szCs w:val="23"/>
        </w:rPr>
        <w:t xml:space="preserve">chiedere una </w:t>
      </w:r>
      <w:r w:rsidRPr="007A077D">
        <w:rPr>
          <w:rFonts w:ascii="Arial" w:hAnsi="Arial" w:cs="Arial"/>
          <w:b/>
          <w:bCs/>
          <w:sz w:val="23"/>
          <w:szCs w:val="23"/>
        </w:rPr>
        <w:t>proroga del termine in scadenza</w:t>
      </w:r>
      <w:r w:rsidRPr="007A077D">
        <w:rPr>
          <w:rFonts w:ascii="Arial" w:hAnsi="Arial" w:cs="Arial"/>
          <w:sz w:val="23"/>
          <w:szCs w:val="23"/>
        </w:rPr>
        <w:t xml:space="preserve"> in ragione dell’impatto operativo sugli studi professionali direttamente coinvolti nella trasmissione telematica delle pratiche di comunicazione della titolarità effettiva.</w:t>
      </w:r>
    </w:p>
    <w:p w14:paraId="2F7BE93D" w14:textId="77777777" w:rsidR="00AB2FDE" w:rsidRPr="007A077D" w:rsidRDefault="00AB2FDE" w:rsidP="00DE239E">
      <w:pPr>
        <w:jc w:val="both"/>
        <w:rPr>
          <w:rFonts w:ascii="Arial" w:hAnsi="Arial" w:cs="Arial"/>
          <w:sz w:val="23"/>
          <w:szCs w:val="23"/>
        </w:rPr>
      </w:pPr>
    </w:p>
    <w:p w14:paraId="1118CBD1" w14:textId="761F39A9" w:rsidR="00E06FDC" w:rsidRPr="007A077D" w:rsidRDefault="00AB2FDE" w:rsidP="00DE23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</w:pP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Lo scorso 9 aprile, infatti,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il </w:t>
      </w:r>
      <w:r w:rsidR="00392FBF" w:rsidRPr="006F702A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>Tar del Lazio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ha pubblicato le sentenze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con cui sono stati </w:t>
      </w:r>
      <w:r w:rsidR="005C28AA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dichiarati </w:t>
      </w:r>
      <w:r w:rsidR="005C28AA" w:rsidRPr="006F702A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infondati </w:t>
      </w:r>
      <w:r w:rsidR="00392FBF" w:rsidRPr="006F702A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>i</w:t>
      </w:r>
      <w:r w:rsidR="005C28AA" w:rsidRPr="006F702A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sei</w:t>
      </w:r>
      <w:r w:rsidR="00392FBF" w:rsidRPr="006F702A">
        <w:rPr>
          <w:rFonts w:ascii="Arial" w:eastAsiaTheme="minorHAnsi" w:hAnsi="Arial" w:cs="Arial"/>
          <w:b/>
          <w:bCs/>
          <w:sz w:val="23"/>
          <w:szCs w:val="23"/>
          <w:lang w:eastAsia="en-US"/>
          <w14:ligatures w14:val="standardContextual"/>
        </w:rPr>
        <w:t xml:space="preserve"> ricorsi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presentati da diverse associazioni fiduciarie per</w:t>
      </w:r>
      <w:r w:rsidR="005C28AA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l’annullamento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del decreto </w:t>
      </w:r>
      <w:r w:rsidR="005C28AA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MIMIT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del 29 settembre 2023, relativo al Registro dei titolari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1113C4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effettivi, confermando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di fatto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la piena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operatività di quanto stabilito sulla titolarità effettiva, con scadenza del relativo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 </w:t>
      </w:r>
      <w:r w:rsidR="00392FBF"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termine alla data dell'11 aprile 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scorso.</w:t>
      </w:r>
    </w:p>
    <w:p w14:paraId="3FEC140E" w14:textId="77777777" w:rsidR="00F0056B" w:rsidRPr="007A077D" w:rsidRDefault="00F0056B" w:rsidP="00DE23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</w:pPr>
    </w:p>
    <w:p w14:paraId="10E03A4C" w14:textId="5CBAE2DD" w:rsidR="00F0056B" w:rsidRPr="007A077D" w:rsidRDefault="007A077D" w:rsidP="00DE239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“L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>a richiesta formulata oggi ad Unioncamere giunge dopo una intensa interlocuzione avuta in questi giorni con i Ministeri competent</w:t>
      </w:r>
      <w:r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i </w:t>
      </w:r>
      <w:r w:rsidRPr="007A077D">
        <w:rPr>
          <w:rFonts w:ascii="Arial" w:hAnsi="Arial" w:cs="Arial"/>
          <w:sz w:val="23"/>
          <w:szCs w:val="23"/>
        </w:rPr>
        <w:t xml:space="preserve">– afferma il presidente </w:t>
      </w:r>
      <w:r w:rsidRPr="006F702A">
        <w:rPr>
          <w:rFonts w:ascii="Arial" w:hAnsi="Arial" w:cs="Arial"/>
          <w:b/>
          <w:bCs/>
          <w:sz w:val="23"/>
          <w:szCs w:val="23"/>
        </w:rPr>
        <w:t>Elbano de Nuccio</w:t>
      </w:r>
      <w:r w:rsidRPr="007A077D">
        <w:rPr>
          <w:rFonts w:ascii="Arial" w:hAnsi="Arial" w:cs="Arial"/>
          <w:sz w:val="23"/>
          <w:szCs w:val="23"/>
        </w:rPr>
        <w:t xml:space="preserve"> –</w:t>
      </w:r>
      <w:r>
        <w:rPr>
          <w:rFonts w:ascii="Arial" w:hAnsi="Arial" w:cs="Arial"/>
          <w:sz w:val="23"/>
          <w:szCs w:val="23"/>
        </w:rPr>
        <w:t xml:space="preserve">. </w:t>
      </w:r>
      <w:r w:rsidRPr="007A077D"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Il nostro auspicio è che le camere di commercio forniscano indicazioni </w:t>
      </w:r>
      <w:r>
        <w:rPr>
          <w:rFonts w:ascii="Arial" w:eastAsiaTheme="minorHAnsi" w:hAnsi="Arial" w:cs="Arial"/>
          <w:sz w:val="23"/>
          <w:szCs w:val="23"/>
          <w:lang w:eastAsia="en-US"/>
          <w14:ligatures w14:val="standardContextual"/>
        </w:rPr>
        <w:t xml:space="preserve">chiare e uniformi </w:t>
      </w:r>
      <w:r w:rsidR="00DE239E" w:rsidRPr="007A077D">
        <w:rPr>
          <w:rFonts w:ascii="Arial" w:hAnsi="Arial" w:cs="Arial"/>
          <w:sz w:val="23"/>
          <w:szCs w:val="23"/>
        </w:rPr>
        <w:t>in modo tale da garantire modalità operative omogenee sul tutto il territorio nazionale, a beneficio delle imprese e dei professionisti coinvolt</w:t>
      </w:r>
      <w:r>
        <w:rPr>
          <w:rFonts w:ascii="Arial" w:hAnsi="Arial" w:cs="Arial"/>
          <w:sz w:val="23"/>
          <w:szCs w:val="23"/>
        </w:rPr>
        <w:t>i”.</w:t>
      </w:r>
    </w:p>
    <w:sectPr w:rsidR="00F0056B" w:rsidRPr="007A077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08DB" w14:textId="77777777" w:rsidR="00FC6D95" w:rsidRDefault="00FC6D95" w:rsidP="0053767A">
      <w:r>
        <w:separator/>
      </w:r>
    </w:p>
  </w:endnote>
  <w:endnote w:type="continuationSeparator" w:id="0">
    <w:p w14:paraId="72A37B76" w14:textId="77777777" w:rsidR="00FC6D95" w:rsidRDefault="00FC6D95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541" w14:textId="77777777" w:rsidR="00FC6D95" w:rsidRDefault="00FC6D95" w:rsidP="0053767A">
      <w:r>
        <w:separator/>
      </w:r>
    </w:p>
  </w:footnote>
  <w:footnote w:type="continuationSeparator" w:id="0">
    <w:p w14:paraId="02F40887" w14:textId="77777777" w:rsidR="00FC6D95" w:rsidRDefault="00FC6D95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005D03"/>
    <w:rsid w:val="0000607D"/>
    <w:rsid w:val="00015E1A"/>
    <w:rsid w:val="0011043D"/>
    <w:rsid w:val="001113C4"/>
    <w:rsid w:val="00124B6E"/>
    <w:rsid w:val="00132A25"/>
    <w:rsid w:val="00152D89"/>
    <w:rsid w:val="001956F5"/>
    <w:rsid w:val="001A0459"/>
    <w:rsid w:val="00204DB5"/>
    <w:rsid w:val="002379B9"/>
    <w:rsid w:val="002502F4"/>
    <w:rsid w:val="00254D79"/>
    <w:rsid w:val="00265B97"/>
    <w:rsid w:val="0027447A"/>
    <w:rsid w:val="00287CAA"/>
    <w:rsid w:val="002C046C"/>
    <w:rsid w:val="002E3353"/>
    <w:rsid w:val="002E3933"/>
    <w:rsid w:val="002F527A"/>
    <w:rsid w:val="00336A78"/>
    <w:rsid w:val="003407A8"/>
    <w:rsid w:val="00392FBF"/>
    <w:rsid w:val="003B6CF5"/>
    <w:rsid w:val="003C1C09"/>
    <w:rsid w:val="003C66A9"/>
    <w:rsid w:val="003D5A57"/>
    <w:rsid w:val="003E6C43"/>
    <w:rsid w:val="00402D0F"/>
    <w:rsid w:val="0040487B"/>
    <w:rsid w:val="0042652A"/>
    <w:rsid w:val="0043677A"/>
    <w:rsid w:val="00450573"/>
    <w:rsid w:val="00450DF1"/>
    <w:rsid w:val="00464615"/>
    <w:rsid w:val="004B3E6D"/>
    <w:rsid w:val="004B52B8"/>
    <w:rsid w:val="004B6460"/>
    <w:rsid w:val="004C73FD"/>
    <w:rsid w:val="004F3100"/>
    <w:rsid w:val="005323A8"/>
    <w:rsid w:val="0053767A"/>
    <w:rsid w:val="00561387"/>
    <w:rsid w:val="00587889"/>
    <w:rsid w:val="005A6576"/>
    <w:rsid w:val="005A7B48"/>
    <w:rsid w:val="005C266E"/>
    <w:rsid w:val="005C28AA"/>
    <w:rsid w:val="005F09A5"/>
    <w:rsid w:val="0065054B"/>
    <w:rsid w:val="006664F3"/>
    <w:rsid w:val="00683387"/>
    <w:rsid w:val="00686343"/>
    <w:rsid w:val="006928E0"/>
    <w:rsid w:val="006B1EB0"/>
    <w:rsid w:val="006B222B"/>
    <w:rsid w:val="006B3E6A"/>
    <w:rsid w:val="006F1005"/>
    <w:rsid w:val="006F39E8"/>
    <w:rsid w:val="006F702A"/>
    <w:rsid w:val="0072401A"/>
    <w:rsid w:val="00731085"/>
    <w:rsid w:val="007A077D"/>
    <w:rsid w:val="007B250D"/>
    <w:rsid w:val="007C336D"/>
    <w:rsid w:val="007E017B"/>
    <w:rsid w:val="007F34BE"/>
    <w:rsid w:val="0081776A"/>
    <w:rsid w:val="0084198B"/>
    <w:rsid w:val="008643F7"/>
    <w:rsid w:val="0087548C"/>
    <w:rsid w:val="00875577"/>
    <w:rsid w:val="008B0AD7"/>
    <w:rsid w:val="008C22FF"/>
    <w:rsid w:val="008D4C55"/>
    <w:rsid w:val="008E4C2D"/>
    <w:rsid w:val="00921C2C"/>
    <w:rsid w:val="009577EA"/>
    <w:rsid w:val="009657C6"/>
    <w:rsid w:val="009D7B0D"/>
    <w:rsid w:val="009F5AF0"/>
    <w:rsid w:val="00A169AB"/>
    <w:rsid w:val="00A208BF"/>
    <w:rsid w:val="00A46128"/>
    <w:rsid w:val="00A4643A"/>
    <w:rsid w:val="00A47B5A"/>
    <w:rsid w:val="00A501AA"/>
    <w:rsid w:val="00A6351E"/>
    <w:rsid w:val="00A9065C"/>
    <w:rsid w:val="00AB2FDE"/>
    <w:rsid w:val="00B6559A"/>
    <w:rsid w:val="00B66501"/>
    <w:rsid w:val="00BC1726"/>
    <w:rsid w:val="00BC2512"/>
    <w:rsid w:val="00BD067F"/>
    <w:rsid w:val="00BE7D7C"/>
    <w:rsid w:val="00C065BA"/>
    <w:rsid w:val="00C160D2"/>
    <w:rsid w:val="00C41BC7"/>
    <w:rsid w:val="00C610A8"/>
    <w:rsid w:val="00C803F3"/>
    <w:rsid w:val="00CC2342"/>
    <w:rsid w:val="00D11F59"/>
    <w:rsid w:val="00D729BE"/>
    <w:rsid w:val="00D92D7B"/>
    <w:rsid w:val="00DB0FE6"/>
    <w:rsid w:val="00DC46DB"/>
    <w:rsid w:val="00DE239E"/>
    <w:rsid w:val="00DE7944"/>
    <w:rsid w:val="00E06FDC"/>
    <w:rsid w:val="00E339D8"/>
    <w:rsid w:val="00E5193A"/>
    <w:rsid w:val="00E730CE"/>
    <w:rsid w:val="00E9381D"/>
    <w:rsid w:val="00F0056B"/>
    <w:rsid w:val="00FA6626"/>
    <w:rsid w:val="00FB30D0"/>
    <w:rsid w:val="00FB414A"/>
    <w:rsid w:val="00FC6D95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E323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235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7E017B"/>
    <w:rPr>
      <w:rFonts w:ascii="Aptos" w:eastAsiaTheme="minorHAnsi" w:hAnsi="Aptos" w:cs="Aptos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06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2024-04-12T09:03:00Z</dcterms:created>
  <dcterms:modified xsi:type="dcterms:W3CDTF">2024-04-12T09:27:00Z</dcterms:modified>
</cp:coreProperties>
</file>