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0012" w14:textId="77777777" w:rsidR="00B65EE9" w:rsidRPr="00C84294" w:rsidRDefault="00B65EE9" w:rsidP="00E31003">
      <w:pPr>
        <w:jc w:val="both"/>
        <w:rPr>
          <w:rFonts w:ascii="Arial" w:eastAsia="Times New Roman" w:hAnsi="Arial" w:cs="Arial"/>
          <w:b/>
          <w:bCs/>
        </w:rPr>
      </w:pPr>
    </w:p>
    <w:p w14:paraId="31C82F9C" w14:textId="77777777" w:rsidR="00E31003" w:rsidRDefault="00E31003" w:rsidP="00E31003">
      <w:pPr>
        <w:jc w:val="center"/>
        <w:rPr>
          <w:rFonts w:ascii="Arial" w:hAnsi="Arial" w:cs="Arial"/>
          <w:b/>
          <w:bCs/>
          <w:color w:val="000000"/>
          <w:sz w:val="24"/>
          <w:szCs w:val="24"/>
        </w:rPr>
      </w:pPr>
    </w:p>
    <w:p w14:paraId="42B8F81A" w14:textId="5D30BCCF" w:rsidR="00E31003" w:rsidRDefault="00E31003" w:rsidP="00E31003">
      <w:pPr>
        <w:jc w:val="center"/>
        <w:rPr>
          <w:color w:val="000000"/>
        </w:rPr>
      </w:pPr>
      <w:r>
        <w:rPr>
          <w:rFonts w:ascii="Arial" w:hAnsi="Arial" w:cs="Arial"/>
          <w:b/>
          <w:bCs/>
          <w:color w:val="000000"/>
          <w:sz w:val="24"/>
          <w:szCs w:val="24"/>
        </w:rPr>
        <w:t>COMUNICATO STAMPA</w:t>
      </w:r>
    </w:p>
    <w:p w14:paraId="4D12D303" w14:textId="77777777" w:rsidR="00E31003" w:rsidRDefault="00E31003" w:rsidP="00E31003">
      <w:pPr>
        <w:jc w:val="both"/>
        <w:rPr>
          <w:color w:val="000000"/>
        </w:rPr>
      </w:pPr>
      <w:r>
        <w:rPr>
          <w:rFonts w:ascii="Arial" w:eastAsia="Times New Roman" w:hAnsi="Arial" w:cs="Arial"/>
          <w:b/>
          <w:bCs/>
          <w:color w:val="000000"/>
          <w:sz w:val="24"/>
          <w:szCs w:val="24"/>
        </w:rPr>
        <w:t> </w:t>
      </w:r>
    </w:p>
    <w:p w14:paraId="66360490" w14:textId="77777777" w:rsidR="00E31003" w:rsidRDefault="00E31003" w:rsidP="00E31003">
      <w:pPr>
        <w:jc w:val="both"/>
        <w:rPr>
          <w:color w:val="000000"/>
        </w:rPr>
      </w:pPr>
      <w:r>
        <w:rPr>
          <w:rFonts w:ascii="Arial" w:eastAsia="Times New Roman" w:hAnsi="Arial" w:cs="Arial"/>
          <w:b/>
          <w:bCs/>
          <w:color w:val="000000"/>
          <w:sz w:val="24"/>
          <w:szCs w:val="24"/>
        </w:rPr>
        <w:t>REVISIONE LEGALE, PUBBLICATA LA SESTA EDIZIONE DEL DOCUMENTO SULLA RELAZIONE UNITARIA DI CONTROLLO SOCIETARIO </w:t>
      </w:r>
    </w:p>
    <w:p w14:paraId="4159E66C" w14:textId="320857BA" w:rsidR="00E31003" w:rsidRDefault="00E31003" w:rsidP="00E31003">
      <w:pPr>
        <w:jc w:val="both"/>
        <w:rPr>
          <w:rFonts w:ascii="Arial" w:eastAsia="Times New Roman" w:hAnsi="Arial" w:cs="Arial"/>
          <w:b/>
          <w:bCs/>
          <w:color w:val="000000"/>
          <w:sz w:val="24"/>
          <w:szCs w:val="24"/>
        </w:rPr>
      </w:pPr>
      <w:r>
        <w:rPr>
          <w:rFonts w:ascii="Arial" w:hAnsi="Arial" w:cs="Arial"/>
          <w:b/>
          <w:bCs/>
          <w:color w:val="000000"/>
          <w:sz w:val="24"/>
          <w:szCs w:val="24"/>
        </w:rPr>
        <w:t>Il contenuto del modello di relazione unitaria proposto in questa edizione del tutto particolare a causa dell’emergenza sanitaria in corso tiene conto dei riflessi per il sindaco-revisore delle tante novità e obblighi connessi alla prossima pubblicazione dei bilanci 2020</w:t>
      </w:r>
    </w:p>
    <w:p w14:paraId="120F6ED7" w14:textId="77777777" w:rsidR="00E31003" w:rsidRDefault="00E31003" w:rsidP="00E31003">
      <w:pPr>
        <w:jc w:val="both"/>
        <w:rPr>
          <w:color w:val="000000"/>
        </w:rPr>
      </w:pPr>
    </w:p>
    <w:p w14:paraId="6A21B552" w14:textId="77777777" w:rsidR="00E31003" w:rsidRDefault="00E31003" w:rsidP="00E31003">
      <w:pPr>
        <w:jc w:val="both"/>
        <w:rPr>
          <w:rFonts w:ascii="Arial" w:eastAsia="Times New Roman" w:hAnsi="Arial" w:cs="Arial"/>
          <w:color w:val="000000"/>
          <w:sz w:val="24"/>
          <w:szCs w:val="24"/>
        </w:rPr>
      </w:pPr>
      <w:r>
        <w:rPr>
          <w:rFonts w:ascii="Arial" w:eastAsia="Times New Roman" w:hAnsi="Arial" w:cs="Arial"/>
          <w:i/>
          <w:iCs/>
          <w:color w:val="000000"/>
          <w:sz w:val="24"/>
          <w:szCs w:val="24"/>
        </w:rPr>
        <w:t xml:space="preserve">Roma, 12 aprile 2021 - </w:t>
      </w:r>
      <w:r>
        <w:rPr>
          <w:rFonts w:ascii="Arial" w:eastAsia="Times New Roman" w:hAnsi="Arial" w:cs="Arial"/>
          <w:color w:val="000000"/>
          <w:sz w:val="24"/>
          <w:szCs w:val="24"/>
        </w:rPr>
        <w:t>Il Consiglio Nazionale dei Dottori Commercialisti e degli Esperti Contabili, in collaborazione con la Fondazione Nazionale dei Commercialisti, ha pubblicato la sesta edizione del documento “</w:t>
      </w:r>
      <w:r>
        <w:rPr>
          <w:rFonts w:ascii="Arial" w:eastAsia="Times New Roman" w:hAnsi="Arial" w:cs="Arial"/>
          <w:b/>
          <w:bCs/>
          <w:color w:val="000000"/>
          <w:sz w:val="24"/>
          <w:szCs w:val="24"/>
        </w:rPr>
        <w:t>La relazione unitaria di controllo societario del collegio sindacale incaricato della revisione legale dei conti”</w:t>
      </w:r>
      <w:r>
        <w:rPr>
          <w:rFonts w:ascii="Arial" w:eastAsia="Times New Roman" w:hAnsi="Arial" w:cs="Arial"/>
          <w:color w:val="000000"/>
          <w:sz w:val="24"/>
          <w:szCs w:val="24"/>
        </w:rPr>
        <w:t xml:space="preserve">. Si tratta di uno strumento operativo, costantemente aggiornato e di immediata fruizione, utile per tutti i commercialisti chiamati ad esprimere a breve le risultanze del lavoro svolto sia in termini di vigilanza e altri doveri ai sensi dell’art. 2429, comma 2, c.c., sia di revisione legale del bilancio, ai sensi dell’art. 14 del </w:t>
      </w:r>
      <w:proofErr w:type="spellStart"/>
      <w:r>
        <w:rPr>
          <w:rFonts w:ascii="Arial" w:eastAsia="Times New Roman" w:hAnsi="Arial" w:cs="Arial"/>
          <w:color w:val="000000"/>
          <w:sz w:val="24"/>
          <w:szCs w:val="24"/>
        </w:rPr>
        <w:t>D.Lgs.</w:t>
      </w:r>
      <w:proofErr w:type="spellEnd"/>
      <w:r>
        <w:rPr>
          <w:rFonts w:ascii="Arial" w:eastAsia="Times New Roman" w:hAnsi="Arial" w:cs="Arial"/>
          <w:color w:val="000000"/>
          <w:sz w:val="24"/>
          <w:szCs w:val="24"/>
        </w:rPr>
        <w:t xml:space="preserve"> 27 gennaio 2010, n. 39.</w:t>
      </w:r>
    </w:p>
    <w:p w14:paraId="30E99C78" w14:textId="4987645A" w:rsidR="00E31003" w:rsidRDefault="00E31003" w:rsidP="00E31003">
      <w:pPr>
        <w:jc w:val="both"/>
        <w:rPr>
          <w:rFonts w:eastAsia="Times New Roman"/>
          <w:color w:val="000000"/>
        </w:rPr>
      </w:pPr>
      <w:r>
        <w:rPr>
          <w:rFonts w:eastAsia="Times New Roman"/>
          <w:color w:val="000000"/>
        </w:rPr>
        <w:t xml:space="preserve"> </w:t>
      </w:r>
    </w:p>
    <w:p w14:paraId="0D247C44" w14:textId="23CE07A7" w:rsidR="00E31003" w:rsidRDefault="00E31003" w:rsidP="00E31003">
      <w:pPr>
        <w:jc w:val="both"/>
        <w:rPr>
          <w:rFonts w:ascii="Arial" w:eastAsia="Times New Roman" w:hAnsi="Arial" w:cs="Arial"/>
          <w:color w:val="000000"/>
          <w:sz w:val="24"/>
          <w:szCs w:val="24"/>
        </w:rPr>
      </w:pPr>
      <w:r>
        <w:rPr>
          <w:rFonts w:ascii="Arial" w:hAnsi="Arial" w:cs="Arial"/>
          <w:color w:val="000000"/>
          <w:sz w:val="24"/>
          <w:szCs w:val="24"/>
        </w:rPr>
        <w:t xml:space="preserve">Il contenuto del modello di relazione unitaria proposto in questa edizione del tutto particolare a causa </w:t>
      </w:r>
      <w:r>
        <w:rPr>
          <w:rFonts w:ascii="Arial" w:hAnsi="Arial" w:cs="Arial"/>
          <w:b/>
          <w:bCs/>
          <w:color w:val="000000"/>
          <w:sz w:val="24"/>
          <w:szCs w:val="24"/>
        </w:rPr>
        <w:t>dell’emergenza sanitaria in corso</w:t>
      </w:r>
      <w:r>
        <w:rPr>
          <w:rFonts w:ascii="Arial" w:hAnsi="Arial" w:cs="Arial"/>
          <w:color w:val="000000"/>
          <w:sz w:val="24"/>
          <w:szCs w:val="24"/>
        </w:rPr>
        <w:t xml:space="preserve"> tiene conto dei riflessi per il sindaco-revisore delle tante novità e obblighi connessi alla prossima pubblicazione dei bilanci 2020.</w:t>
      </w:r>
    </w:p>
    <w:p w14:paraId="6BAE966F" w14:textId="77777777" w:rsidR="00E31003" w:rsidRDefault="00E31003" w:rsidP="00E31003">
      <w:pPr>
        <w:jc w:val="both"/>
        <w:rPr>
          <w:color w:val="000000"/>
        </w:rPr>
      </w:pPr>
    </w:p>
    <w:p w14:paraId="4BBFF9EB" w14:textId="4367145D" w:rsidR="00E31003" w:rsidRDefault="00E31003" w:rsidP="00E31003">
      <w:pPr>
        <w:jc w:val="both"/>
        <w:rPr>
          <w:rFonts w:ascii="Arial" w:eastAsia="Times New Roman" w:hAnsi="Arial" w:cs="Arial"/>
          <w:color w:val="000000"/>
          <w:sz w:val="24"/>
          <w:szCs w:val="24"/>
        </w:rPr>
      </w:pPr>
      <w:r>
        <w:rPr>
          <w:rFonts w:ascii="Arial" w:hAnsi="Arial" w:cs="Arial"/>
          <w:color w:val="000000"/>
          <w:sz w:val="24"/>
          <w:szCs w:val="24"/>
        </w:rPr>
        <w:t xml:space="preserve">Sul fronte della revisione legale, le novità sono legate principalmente all’entrata in vigore di </w:t>
      </w:r>
      <w:r>
        <w:rPr>
          <w:rFonts w:ascii="Arial" w:hAnsi="Arial" w:cs="Arial"/>
          <w:b/>
          <w:bCs/>
          <w:color w:val="000000"/>
          <w:sz w:val="24"/>
          <w:szCs w:val="24"/>
        </w:rPr>
        <w:t>22 nuovi principi di revisione internazionali (ISA Italia)</w:t>
      </w:r>
      <w:r>
        <w:rPr>
          <w:rFonts w:ascii="Arial" w:hAnsi="Arial" w:cs="Arial"/>
          <w:color w:val="000000"/>
          <w:sz w:val="24"/>
          <w:szCs w:val="24"/>
        </w:rPr>
        <w:t xml:space="preserve"> avvenuta a seguito della pubblicazione della determina del MEF-RGS del 3 agosto 2020.</w:t>
      </w:r>
    </w:p>
    <w:p w14:paraId="64851604" w14:textId="77777777" w:rsidR="00E31003" w:rsidRDefault="00E31003" w:rsidP="00E31003">
      <w:pPr>
        <w:jc w:val="both"/>
        <w:rPr>
          <w:color w:val="000000"/>
        </w:rPr>
      </w:pPr>
    </w:p>
    <w:p w14:paraId="1EE39593" w14:textId="75FD27B1" w:rsidR="00E31003" w:rsidRDefault="00E31003" w:rsidP="00E31003">
      <w:pPr>
        <w:jc w:val="both"/>
        <w:rPr>
          <w:rFonts w:ascii="Arial" w:eastAsia="Times New Roman" w:hAnsi="Arial" w:cs="Arial"/>
          <w:color w:val="000000"/>
          <w:sz w:val="24"/>
          <w:szCs w:val="24"/>
        </w:rPr>
      </w:pPr>
      <w:r>
        <w:rPr>
          <w:rFonts w:ascii="Arial" w:hAnsi="Arial" w:cs="Arial"/>
          <w:color w:val="000000"/>
          <w:sz w:val="24"/>
          <w:szCs w:val="24"/>
        </w:rPr>
        <w:t xml:space="preserve">Sotto il profilo tecnico-contabile le numerose novità per la redazione dei bilanci relativi all’esercizio 2020 sono legate essenzialmente all’implementazione delle </w:t>
      </w:r>
      <w:r>
        <w:rPr>
          <w:rFonts w:ascii="Arial" w:hAnsi="Arial" w:cs="Arial"/>
          <w:b/>
          <w:bCs/>
          <w:color w:val="000000"/>
          <w:sz w:val="24"/>
          <w:szCs w:val="24"/>
        </w:rPr>
        <w:t>misure di sostegno</w:t>
      </w:r>
      <w:r>
        <w:rPr>
          <w:rFonts w:ascii="Arial" w:hAnsi="Arial" w:cs="Arial"/>
          <w:color w:val="000000"/>
          <w:sz w:val="24"/>
          <w:szCs w:val="24"/>
        </w:rPr>
        <w:t xml:space="preserve"> alle imprese nell’attuale fase di emergenza pandemica da Covid-19. Ci si riferisce in particolare: 1. alla deroga in merito all’applicazione del principio di continuità aziendale ai sensi dell’art. 38-quater del D.L. 19 maggio 2020 n. 34, così come convertito con la L. n. 77 del 17 luglio 2020; 2. alla sospensione degli ammortamenti ai sensi dell’art. 60 del D.L. 14 agosto 2020 n. 104, convertito con modificazioni dalla L 13 ottobre 2020 n. 126 (c.d. Decreto Agosto); 3. alla disciplina delle perdite ai sensi dell’art. 6 del D.L. n. 23/2020 (c.d. Decreto Liquidità) così come novellato dalla legge di bilancio per il 2021.</w:t>
      </w:r>
    </w:p>
    <w:p w14:paraId="0BE8B57A" w14:textId="77777777" w:rsidR="00E31003" w:rsidRDefault="00E31003" w:rsidP="00E31003">
      <w:pPr>
        <w:jc w:val="both"/>
        <w:rPr>
          <w:color w:val="000000"/>
        </w:rPr>
      </w:pPr>
    </w:p>
    <w:p w14:paraId="26925674" w14:textId="1238BEEC" w:rsidR="00F362C1" w:rsidRPr="00144BD8" w:rsidRDefault="00E31003" w:rsidP="00E31003">
      <w:pPr>
        <w:jc w:val="both"/>
        <w:rPr>
          <w:rFonts w:ascii="Arial" w:hAnsi="Arial" w:cs="Arial"/>
          <w:color w:val="4472C4" w:themeColor="accent1"/>
        </w:rPr>
      </w:pPr>
      <w:r>
        <w:rPr>
          <w:rFonts w:ascii="Arial" w:hAnsi="Arial" w:cs="Arial"/>
          <w:color w:val="000000"/>
          <w:sz w:val="24"/>
          <w:szCs w:val="24"/>
        </w:rPr>
        <w:t xml:space="preserve">Nella sezione allegati si forniscono </w:t>
      </w:r>
      <w:r>
        <w:rPr>
          <w:rFonts w:ascii="Arial" w:hAnsi="Arial" w:cs="Arial"/>
          <w:b/>
          <w:bCs/>
          <w:color w:val="000000"/>
          <w:sz w:val="24"/>
          <w:szCs w:val="24"/>
        </w:rPr>
        <w:t>due modelli di relazione unitaria</w:t>
      </w:r>
      <w:r>
        <w:rPr>
          <w:rFonts w:ascii="Arial" w:hAnsi="Arial" w:cs="Arial"/>
          <w:color w:val="000000"/>
          <w:sz w:val="24"/>
          <w:szCs w:val="24"/>
        </w:rPr>
        <w:t xml:space="preserve"> utili per il collegio sindacale o per il sindaco unico incaricato della revisione legale rispettivamente in assenza o in presenza di esercizio di deroghe. L’allegato 3, invece, contiene uno schema di rinuncia ai termini ex art. 2429, comma 3, c.c., inserito in quanto, con riferimento al bilancio 2020, il perdurare dell’emergenza sanitaria scaturente dalla diffusione del Covid-19 e le misure previste nei provvedimenti governativi in materia di contenimento e gestione dell'emergenza epidemiologica, sono destinate ad avere un probabile impatto nella gestione delle procedure di formazione del bilancio e dell’iter di approvazione in assemblea nonché, di riflesso, sulle attività di vigilanza e controllo da parte dei sindaci-revisori.</w:t>
      </w:r>
    </w:p>
    <w:sectPr w:rsidR="00F362C1" w:rsidRPr="00144BD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78E4" w14:textId="77777777" w:rsidR="0070537A" w:rsidRDefault="0070537A" w:rsidP="00C244F9">
      <w:r>
        <w:separator/>
      </w:r>
    </w:p>
  </w:endnote>
  <w:endnote w:type="continuationSeparator" w:id="0">
    <w:p w14:paraId="297AF547" w14:textId="77777777" w:rsidR="0070537A" w:rsidRDefault="0070537A"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FFB0" w14:textId="77777777" w:rsidR="0070537A" w:rsidRDefault="0070537A" w:rsidP="00C244F9">
      <w:r>
        <w:separator/>
      </w:r>
    </w:p>
  </w:footnote>
  <w:footnote w:type="continuationSeparator" w:id="0">
    <w:p w14:paraId="1943D558" w14:textId="77777777" w:rsidR="0070537A" w:rsidRDefault="0070537A"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84EE5"/>
    <w:rsid w:val="000B235F"/>
    <w:rsid w:val="000C54E4"/>
    <w:rsid w:val="000D60C6"/>
    <w:rsid w:val="00116B34"/>
    <w:rsid w:val="00137250"/>
    <w:rsid w:val="00144BD8"/>
    <w:rsid w:val="00163203"/>
    <w:rsid w:val="00196A19"/>
    <w:rsid w:val="00200C0C"/>
    <w:rsid w:val="002B005F"/>
    <w:rsid w:val="002B2E1A"/>
    <w:rsid w:val="002B78A5"/>
    <w:rsid w:val="002C41B2"/>
    <w:rsid w:val="0031138F"/>
    <w:rsid w:val="003773A3"/>
    <w:rsid w:val="003935EA"/>
    <w:rsid w:val="003C2E00"/>
    <w:rsid w:val="00410906"/>
    <w:rsid w:val="00542E37"/>
    <w:rsid w:val="00605191"/>
    <w:rsid w:val="00651D3D"/>
    <w:rsid w:val="00656D74"/>
    <w:rsid w:val="0070537A"/>
    <w:rsid w:val="0081049B"/>
    <w:rsid w:val="00813B39"/>
    <w:rsid w:val="008C37D4"/>
    <w:rsid w:val="009C53C6"/>
    <w:rsid w:val="009F4D75"/>
    <w:rsid w:val="00A14134"/>
    <w:rsid w:val="00A604B1"/>
    <w:rsid w:val="00A866E4"/>
    <w:rsid w:val="00AA5964"/>
    <w:rsid w:val="00B65EE9"/>
    <w:rsid w:val="00B73BD6"/>
    <w:rsid w:val="00BB3D1D"/>
    <w:rsid w:val="00BB4392"/>
    <w:rsid w:val="00BF0694"/>
    <w:rsid w:val="00C244F9"/>
    <w:rsid w:val="00C25645"/>
    <w:rsid w:val="00C84294"/>
    <w:rsid w:val="00CA5E3D"/>
    <w:rsid w:val="00D06F3A"/>
    <w:rsid w:val="00DC69D5"/>
    <w:rsid w:val="00DD1BB9"/>
    <w:rsid w:val="00DF6872"/>
    <w:rsid w:val="00E31003"/>
    <w:rsid w:val="00E50272"/>
    <w:rsid w:val="00E507D0"/>
    <w:rsid w:val="00EC2930"/>
    <w:rsid w:val="00F04783"/>
    <w:rsid w:val="00F362C1"/>
    <w:rsid w:val="00F36CCF"/>
    <w:rsid w:val="00FC4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003"/>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05058825">
      <w:bodyDiv w:val="1"/>
      <w:marLeft w:val="0"/>
      <w:marRight w:val="0"/>
      <w:marTop w:val="0"/>
      <w:marBottom w:val="0"/>
      <w:divBdr>
        <w:top w:val="none" w:sz="0" w:space="0" w:color="auto"/>
        <w:left w:val="none" w:sz="0" w:space="0" w:color="auto"/>
        <w:bottom w:val="none" w:sz="0" w:space="0" w:color="auto"/>
        <w:right w:val="none" w:sz="0" w:space="0" w:color="auto"/>
      </w:divBdr>
    </w:div>
    <w:div w:id="130581465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482</Words>
  <Characters>2754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16</cp:revision>
  <dcterms:created xsi:type="dcterms:W3CDTF">2021-03-31T10:33:00Z</dcterms:created>
  <dcterms:modified xsi:type="dcterms:W3CDTF">2021-04-14T08:20:00Z</dcterms:modified>
</cp:coreProperties>
</file>