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657E1" w14:textId="77777777" w:rsidR="0053767A" w:rsidRPr="009577EA" w:rsidRDefault="0053767A" w:rsidP="00E9381D">
      <w:pPr>
        <w:jc w:val="center"/>
        <w:rPr>
          <w:rFonts w:ascii="Arial" w:eastAsia="Tahoma" w:hAnsi="Arial" w:cs="Arial"/>
          <w:b/>
          <w:bCs/>
          <w:sz w:val="23"/>
          <w:szCs w:val="23"/>
        </w:rPr>
      </w:pPr>
    </w:p>
    <w:p w14:paraId="11DCC52B" w14:textId="77777777" w:rsidR="00C065BA" w:rsidRDefault="00C065BA" w:rsidP="00E9381D">
      <w:pPr>
        <w:pStyle w:val="NormaleWeb"/>
        <w:jc w:val="center"/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</w:p>
    <w:p w14:paraId="5B6B6454" w14:textId="5A9143A4" w:rsidR="007E017B" w:rsidRPr="00A9065C" w:rsidRDefault="007E017B" w:rsidP="00E9381D">
      <w:pPr>
        <w:pStyle w:val="NormaleWeb"/>
        <w:jc w:val="center"/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  <w:r w:rsidRPr="00A9065C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Comunicato stampa</w:t>
      </w:r>
    </w:p>
    <w:p w14:paraId="51493F36" w14:textId="77777777" w:rsidR="007E017B" w:rsidRPr="00A9065C" w:rsidRDefault="007E017B" w:rsidP="00E9381D">
      <w:pPr>
        <w:pStyle w:val="NormaleWeb"/>
        <w:jc w:val="center"/>
        <w:rPr>
          <w:rFonts w:ascii="Arial" w:hAnsi="Arial" w:cs="Arial"/>
          <w:sz w:val="23"/>
          <w:szCs w:val="23"/>
        </w:rPr>
      </w:pPr>
    </w:p>
    <w:p w14:paraId="745A401D" w14:textId="086DAC61" w:rsidR="007E017B" w:rsidRPr="00A9065C" w:rsidRDefault="00686343" w:rsidP="00E9381D">
      <w:pPr>
        <w:pStyle w:val="NormaleWeb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A9065C">
        <w:rPr>
          <w:rFonts w:ascii="Arial" w:hAnsi="Arial" w:cs="Arial"/>
          <w:b/>
          <w:bCs/>
          <w:color w:val="000000"/>
          <w:sz w:val="23"/>
          <w:szCs w:val="23"/>
        </w:rPr>
        <w:t>COMMERCIALISTI, COLLEGIO SINDACALE</w:t>
      </w:r>
      <w:r w:rsidR="006928E0" w:rsidRPr="00A9065C">
        <w:rPr>
          <w:rFonts w:ascii="Arial" w:hAnsi="Arial" w:cs="Arial"/>
          <w:b/>
          <w:bCs/>
          <w:color w:val="000000"/>
          <w:sz w:val="23"/>
          <w:szCs w:val="23"/>
        </w:rPr>
        <w:t xml:space="preserve">: </w:t>
      </w:r>
      <w:r w:rsidRPr="00A9065C">
        <w:rPr>
          <w:rFonts w:ascii="Arial" w:hAnsi="Arial" w:cs="Arial"/>
          <w:b/>
          <w:bCs/>
          <w:color w:val="000000"/>
          <w:sz w:val="23"/>
          <w:szCs w:val="23"/>
        </w:rPr>
        <w:t xml:space="preserve">FORTE APPREZZAMENTO </w:t>
      </w:r>
      <w:r w:rsidR="003D5A57" w:rsidRPr="00A9065C">
        <w:rPr>
          <w:rFonts w:ascii="Arial" w:hAnsi="Arial" w:cs="Arial"/>
          <w:b/>
          <w:bCs/>
          <w:color w:val="000000"/>
          <w:sz w:val="23"/>
          <w:szCs w:val="23"/>
        </w:rPr>
        <w:t xml:space="preserve">SU </w:t>
      </w:r>
      <w:r w:rsidR="008E4C2D" w:rsidRPr="00A9065C">
        <w:rPr>
          <w:rFonts w:ascii="Arial" w:hAnsi="Arial" w:cs="Arial"/>
          <w:b/>
          <w:bCs/>
          <w:color w:val="000000"/>
          <w:sz w:val="23"/>
          <w:szCs w:val="23"/>
        </w:rPr>
        <w:t>PERIMETRAZIONE</w:t>
      </w:r>
      <w:r w:rsidR="003D5A57" w:rsidRPr="00A9065C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A9065C">
        <w:rPr>
          <w:rFonts w:ascii="Arial" w:hAnsi="Arial" w:cs="Arial"/>
          <w:b/>
          <w:bCs/>
          <w:color w:val="000000"/>
          <w:sz w:val="23"/>
          <w:szCs w:val="23"/>
        </w:rPr>
        <w:t xml:space="preserve">RESPONSABILITÀ </w:t>
      </w:r>
    </w:p>
    <w:p w14:paraId="24014061" w14:textId="77777777" w:rsidR="004B52B8" w:rsidRPr="00A9065C" w:rsidRDefault="004B52B8" w:rsidP="00E9381D">
      <w:pPr>
        <w:pStyle w:val="NormaleWeb"/>
        <w:jc w:val="center"/>
        <w:rPr>
          <w:rFonts w:ascii="Arial" w:hAnsi="Arial" w:cs="Arial"/>
          <w:sz w:val="23"/>
          <w:szCs w:val="23"/>
        </w:rPr>
      </w:pPr>
    </w:p>
    <w:p w14:paraId="24FFF2D4" w14:textId="51656A2C" w:rsidR="00E339D8" w:rsidRPr="00A9065C" w:rsidRDefault="004B52B8" w:rsidP="004B52B8">
      <w:pPr>
        <w:pStyle w:val="NormaleWeb"/>
        <w:jc w:val="center"/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</w:pPr>
      <w:r w:rsidRPr="00A9065C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Il Consiglio nazionale i</w:t>
      </w:r>
      <w:r w:rsidR="006928E0" w:rsidRPr="00A9065C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 xml:space="preserve">n audizione </w:t>
      </w:r>
      <w:r w:rsidR="00686343" w:rsidRPr="00A9065C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 xml:space="preserve">sulla </w:t>
      </w:r>
      <w:r w:rsidR="00E339D8" w:rsidRPr="00A9065C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proposta di legge che ha come prima firmataria l’Onorevole Schifone.</w:t>
      </w:r>
      <w:r w:rsidR="0027447A" w:rsidRPr="00A9065C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686343" w:rsidRPr="00A9065C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Il presidente de Nuccio: “</w:t>
      </w:r>
      <w:r w:rsidR="00686343" w:rsidRPr="00A9065C">
        <w:rPr>
          <w:rFonts w:ascii="Arial" w:hAnsi="Arial" w:cs="Arial"/>
          <w:b/>
          <w:bCs/>
          <w:sz w:val="23"/>
          <w:szCs w:val="23"/>
        </w:rPr>
        <w:t>Obiettivo per il quale il Consiglio nazionale si è sempre battuto fin dal suo insediamento</w:t>
      </w:r>
      <w:r w:rsidR="00686343" w:rsidRPr="00A9065C">
        <w:rPr>
          <w:rFonts w:ascii="Arial" w:hAnsi="Arial" w:cs="Arial"/>
          <w:b/>
          <w:bCs/>
          <w:color w:val="000000"/>
          <w:sz w:val="23"/>
          <w:szCs w:val="23"/>
        </w:rPr>
        <w:t>”</w:t>
      </w:r>
    </w:p>
    <w:p w14:paraId="15EFEEB9" w14:textId="77777777" w:rsidR="00E339D8" w:rsidRPr="00A9065C" w:rsidRDefault="00E339D8" w:rsidP="004B52B8">
      <w:pPr>
        <w:pStyle w:val="NormaleWeb"/>
        <w:jc w:val="center"/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</w:pPr>
    </w:p>
    <w:p w14:paraId="51349D07" w14:textId="77777777" w:rsidR="00E339D8" w:rsidRPr="00A9065C" w:rsidRDefault="00E339D8" w:rsidP="004B52B8">
      <w:pPr>
        <w:pStyle w:val="NormaleWeb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F87BE0A" w14:textId="77777777" w:rsidR="008D4C55" w:rsidRPr="00A9065C" w:rsidRDefault="007E017B" w:rsidP="00E9381D">
      <w:pPr>
        <w:pStyle w:val="elementtoproof"/>
        <w:jc w:val="both"/>
        <w:rPr>
          <w:rFonts w:ascii="Arial" w:hAnsi="Arial" w:cs="Arial"/>
          <w:color w:val="000000"/>
          <w:sz w:val="23"/>
          <w:szCs w:val="23"/>
        </w:rPr>
      </w:pPr>
      <w:r w:rsidRPr="00A9065C">
        <w:rPr>
          <w:rFonts w:ascii="Arial" w:hAnsi="Arial" w:cs="Arial"/>
          <w:i/>
          <w:iCs/>
          <w:color w:val="000000"/>
          <w:sz w:val="23"/>
          <w:szCs w:val="23"/>
        </w:rPr>
        <w:t xml:space="preserve">Roma, </w:t>
      </w:r>
      <w:r w:rsidR="006928E0" w:rsidRPr="00A9065C">
        <w:rPr>
          <w:rFonts w:ascii="Arial" w:hAnsi="Arial" w:cs="Arial"/>
          <w:i/>
          <w:iCs/>
          <w:color w:val="000000"/>
          <w:sz w:val="23"/>
          <w:szCs w:val="23"/>
        </w:rPr>
        <w:t>12</w:t>
      </w:r>
      <w:r w:rsidR="00E5193A" w:rsidRPr="00A9065C">
        <w:rPr>
          <w:rFonts w:ascii="Arial" w:hAnsi="Arial" w:cs="Arial"/>
          <w:i/>
          <w:iCs/>
          <w:color w:val="000000"/>
          <w:sz w:val="23"/>
          <w:szCs w:val="23"/>
        </w:rPr>
        <w:t xml:space="preserve"> marzo 2024</w:t>
      </w:r>
      <w:r w:rsidRPr="00A9065C">
        <w:rPr>
          <w:rFonts w:ascii="Arial" w:hAnsi="Arial" w:cs="Arial"/>
          <w:color w:val="000000"/>
          <w:sz w:val="23"/>
          <w:szCs w:val="23"/>
        </w:rPr>
        <w:t xml:space="preserve"> – </w:t>
      </w:r>
      <w:r w:rsidR="008D4C55" w:rsidRPr="00A9065C">
        <w:rPr>
          <w:rFonts w:ascii="Arial" w:hAnsi="Arial" w:cs="Arial"/>
          <w:color w:val="000000"/>
          <w:sz w:val="23"/>
          <w:szCs w:val="23"/>
        </w:rPr>
        <w:t xml:space="preserve">Il Consiglio nazionale dei commercialisti esprime forte apprezzamento </w:t>
      </w:r>
    </w:p>
    <w:p w14:paraId="17928969" w14:textId="77777777" w:rsidR="006B222B" w:rsidRDefault="008D4C55" w:rsidP="00E9381D">
      <w:pPr>
        <w:pStyle w:val="elementtoproof"/>
        <w:jc w:val="both"/>
        <w:rPr>
          <w:rFonts w:ascii="Arial" w:hAnsi="Arial" w:cs="Arial"/>
          <w:color w:val="000000"/>
          <w:sz w:val="23"/>
          <w:szCs w:val="23"/>
        </w:rPr>
      </w:pPr>
      <w:r w:rsidRPr="00A9065C">
        <w:rPr>
          <w:rFonts w:ascii="Arial" w:hAnsi="Arial" w:cs="Arial"/>
          <w:color w:val="000000"/>
          <w:sz w:val="23"/>
          <w:szCs w:val="23"/>
        </w:rPr>
        <w:t xml:space="preserve">per la </w:t>
      </w:r>
      <w:r w:rsidRPr="00A9065C">
        <w:rPr>
          <w:rFonts w:ascii="Arial" w:hAnsi="Arial" w:cs="Arial"/>
          <w:b/>
          <w:bCs/>
          <w:color w:val="000000"/>
          <w:sz w:val="23"/>
          <w:szCs w:val="23"/>
        </w:rPr>
        <w:t xml:space="preserve">Proposta di legge AC 1276 </w:t>
      </w:r>
      <w:r w:rsidRPr="00A9065C">
        <w:rPr>
          <w:rFonts w:ascii="Arial" w:hAnsi="Arial" w:cs="Arial"/>
          <w:color w:val="000000"/>
          <w:sz w:val="23"/>
          <w:szCs w:val="23"/>
        </w:rPr>
        <w:t>“</w:t>
      </w:r>
      <w:r w:rsidRPr="00A9065C">
        <w:rPr>
          <w:rFonts w:ascii="Arial" w:hAnsi="Arial" w:cs="Arial"/>
          <w:b/>
          <w:bCs/>
          <w:color w:val="000000"/>
          <w:sz w:val="23"/>
          <w:szCs w:val="23"/>
        </w:rPr>
        <w:t>Modifica dell’articolo 2407 del codice civile, in materia di responsabilità dei componenti del collegio sindacale</w:t>
      </w:r>
      <w:r w:rsidRPr="00A9065C">
        <w:rPr>
          <w:rFonts w:ascii="Arial" w:hAnsi="Arial" w:cs="Arial"/>
          <w:color w:val="000000"/>
          <w:sz w:val="23"/>
          <w:szCs w:val="23"/>
        </w:rPr>
        <w:t>”, prima firmataria l’Onorevole Marta Schifone, nel corso di una audizione parlamentare tenutasi oggi presso la II Commissione Giustizia della Camera dei deputati.</w:t>
      </w:r>
    </w:p>
    <w:p w14:paraId="1FFC0499" w14:textId="77777777" w:rsidR="006B222B" w:rsidRDefault="006B222B" w:rsidP="00E9381D">
      <w:pPr>
        <w:pStyle w:val="elementtoproof"/>
        <w:jc w:val="both"/>
        <w:rPr>
          <w:rFonts w:ascii="Arial" w:hAnsi="Arial" w:cs="Arial"/>
          <w:color w:val="000000"/>
          <w:sz w:val="23"/>
          <w:szCs w:val="23"/>
        </w:rPr>
      </w:pPr>
    </w:p>
    <w:p w14:paraId="475EB818" w14:textId="124EBBF5" w:rsidR="006B222B" w:rsidRPr="00A9065C" w:rsidRDefault="006B222B" w:rsidP="006B222B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A9065C">
        <w:rPr>
          <w:rFonts w:ascii="Arial" w:hAnsi="Arial" w:cs="Arial"/>
          <w:sz w:val="23"/>
          <w:szCs w:val="23"/>
        </w:rPr>
        <w:t>La perimetrazione della responsabilità civile dei componenti dell</w:t>
      </w:r>
      <w:r>
        <w:rPr>
          <w:rFonts w:ascii="Arial" w:hAnsi="Arial" w:cs="Arial"/>
          <w:sz w:val="23"/>
          <w:szCs w:val="23"/>
        </w:rPr>
        <w:t>’</w:t>
      </w:r>
      <w:r w:rsidRPr="00A9065C">
        <w:rPr>
          <w:rFonts w:ascii="Arial" w:hAnsi="Arial" w:cs="Arial"/>
          <w:sz w:val="23"/>
          <w:szCs w:val="23"/>
        </w:rPr>
        <w:t>organo di controllo</w:t>
      </w:r>
      <w:r>
        <w:rPr>
          <w:rFonts w:ascii="Arial" w:hAnsi="Arial" w:cs="Arial"/>
          <w:sz w:val="23"/>
          <w:szCs w:val="23"/>
        </w:rPr>
        <w:t xml:space="preserve">, infatti, rappresenta </w:t>
      </w:r>
      <w:r w:rsidRPr="00A9065C">
        <w:rPr>
          <w:rFonts w:ascii="Arial" w:hAnsi="Arial" w:cs="Arial"/>
          <w:sz w:val="23"/>
          <w:szCs w:val="23"/>
        </w:rPr>
        <w:t xml:space="preserve">un obiettivo per il quale il </w:t>
      </w:r>
      <w:r>
        <w:rPr>
          <w:rFonts w:ascii="Arial" w:hAnsi="Arial" w:cs="Arial"/>
          <w:sz w:val="23"/>
          <w:szCs w:val="23"/>
        </w:rPr>
        <w:t xml:space="preserve">presidente del Consiglio nazionale, Elbano de Nuccio, coadiuvato dai consiglieri nazionali delegati alla materia, </w:t>
      </w:r>
      <w:r w:rsidRPr="00A9065C">
        <w:rPr>
          <w:rFonts w:ascii="Arial" w:hAnsi="Arial" w:cs="Arial"/>
          <w:b/>
          <w:bCs/>
          <w:color w:val="000000"/>
          <w:sz w:val="23"/>
          <w:szCs w:val="23"/>
        </w:rPr>
        <w:t xml:space="preserve">Gian Luca Ancarani </w:t>
      </w:r>
      <w:r w:rsidRPr="00A9065C">
        <w:rPr>
          <w:rFonts w:ascii="Arial" w:hAnsi="Arial" w:cs="Arial"/>
          <w:color w:val="000000"/>
          <w:sz w:val="23"/>
          <w:szCs w:val="23"/>
        </w:rPr>
        <w:t xml:space="preserve">e </w:t>
      </w:r>
      <w:r w:rsidRPr="00A9065C">
        <w:rPr>
          <w:rFonts w:ascii="Arial" w:hAnsi="Arial" w:cs="Arial"/>
          <w:b/>
          <w:bCs/>
          <w:color w:val="000000"/>
          <w:sz w:val="23"/>
          <w:szCs w:val="23"/>
        </w:rPr>
        <w:t>Maurizio Masini</w:t>
      </w:r>
      <w:r>
        <w:rPr>
          <w:rFonts w:ascii="Arial" w:hAnsi="Arial" w:cs="Arial"/>
          <w:color w:val="000000"/>
          <w:sz w:val="23"/>
          <w:szCs w:val="23"/>
        </w:rPr>
        <w:t xml:space="preserve">, </w:t>
      </w:r>
      <w:r w:rsidRPr="00A9065C">
        <w:rPr>
          <w:rFonts w:ascii="Arial" w:hAnsi="Arial" w:cs="Arial"/>
          <w:sz w:val="23"/>
          <w:szCs w:val="23"/>
        </w:rPr>
        <w:t xml:space="preserve">si è </w:t>
      </w:r>
      <w:r w:rsidRPr="00A9065C">
        <w:rPr>
          <w:rFonts w:ascii="Arial" w:hAnsi="Arial" w:cs="Arial"/>
          <w:b/>
          <w:bCs/>
          <w:sz w:val="23"/>
          <w:szCs w:val="23"/>
        </w:rPr>
        <w:t>sempre battuto fin dal suo insediamento</w:t>
      </w:r>
      <w:r w:rsidRPr="00A9065C">
        <w:rPr>
          <w:rFonts w:ascii="Arial" w:hAnsi="Arial" w:cs="Arial"/>
          <w:sz w:val="23"/>
          <w:szCs w:val="23"/>
        </w:rPr>
        <w:t xml:space="preserve"> grazie </w:t>
      </w:r>
      <w:r>
        <w:rPr>
          <w:rFonts w:ascii="Arial" w:hAnsi="Arial" w:cs="Arial"/>
          <w:sz w:val="23"/>
          <w:szCs w:val="23"/>
        </w:rPr>
        <w:t xml:space="preserve">alle </w:t>
      </w:r>
      <w:r w:rsidRPr="00A9065C">
        <w:rPr>
          <w:rFonts w:ascii="Arial" w:hAnsi="Arial" w:cs="Arial"/>
          <w:b/>
          <w:bCs/>
          <w:sz w:val="23"/>
          <w:szCs w:val="23"/>
        </w:rPr>
        <w:t>interlocuzion</w:t>
      </w:r>
      <w:r>
        <w:rPr>
          <w:rFonts w:ascii="Arial" w:hAnsi="Arial" w:cs="Arial"/>
          <w:b/>
          <w:bCs/>
          <w:sz w:val="23"/>
          <w:szCs w:val="23"/>
        </w:rPr>
        <w:t xml:space="preserve">i </w:t>
      </w:r>
      <w:r w:rsidR="00D729BE">
        <w:rPr>
          <w:rFonts w:ascii="Arial" w:hAnsi="Arial" w:cs="Arial"/>
          <w:b/>
          <w:bCs/>
          <w:sz w:val="23"/>
          <w:szCs w:val="23"/>
        </w:rPr>
        <w:t xml:space="preserve">da lui </w:t>
      </w:r>
      <w:r>
        <w:rPr>
          <w:rFonts w:ascii="Arial" w:hAnsi="Arial" w:cs="Arial"/>
          <w:b/>
          <w:bCs/>
          <w:sz w:val="23"/>
          <w:szCs w:val="23"/>
        </w:rPr>
        <w:t>intrattenute con il Governo</w:t>
      </w:r>
      <w:r w:rsidRPr="00A9065C">
        <w:rPr>
          <w:rFonts w:ascii="Arial" w:hAnsi="Arial" w:cs="Arial"/>
          <w:color w:val="000000"/>
          <w:sz w:val="23"/>
          <w:szCs w:val="23"/>
        </w:rPr>
        <w:t xml:space="preserve">. </w:t>
      </w:r>
      <w:r>
        <w:rPr>
          <w:rFonts w:ascii="Arial" w:hAnsi="Arial" w:cs="Arial"/>
          <w:color w:val="000000"/>
          <w:sz w:val="23"/>
          <w:szCs w:val="23"/>
        </w:rPr>
        <w:t>“</w:t>
      </w:r>
      <w:r w:rsidRPr="00A9065C">
        <w:rPr>
          <w:rFonts w:ascii="Arial" w:hAnsi="Arial" w:cs="Arial"/>
          <w:color w:val="000000"/>
          <w:sz w:val="23"/>
          <w:szCs w:val="23"/>
        </w:rPr>
        <w:t xml:space="preserve">Esprimo </w:t>
      </w:r>
      <w:r w:rsidRPr="00A9065C">
        <w:rPr>
          <w:rFonts w:ascii="Arial" w:hAnsi="Arial" w:cs="Arial"/>
          <w:color w:val="000000"/>
          <w:sz w:val="23"/>
          <w:szCs w:val="23"/>
          <w:shd w:val="clear" w:color="auto" w:fill="FFFFFF"/>
        </w:rPr>
        <w:t>un vivo ringraziamento agli Onorevoli Marta Schifone e Ciro Maschio, presidente della II Commissione Giustizia, nonché al Governo per l’interesse e la costante attenzione rispetto ad un tema di grande sensibilità per i professionisti coinvolti negli organi di controllo delle società”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ha commentato de Nuccio</w:t>
      </w:r>
      <w:r w:rsidRPr="00A9065C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14:paraId="166A5AD3" w14:textId="77777777" w:rsidR="006B222B" w:rsidRDefault="006B222B" w:rsidP="00E9381D">
      <w:pPr>
        <w:pStyle w:val="elementtoproof"/>
        <w:jc w:val="both"/>
        <w:rPr>
          <w:rFonts w:ascii="Arial" w:hAnsi="Arial" w:cs="Arial"/>
          <w:color w:val="000000"/>
          <w:sz w:val="23"/>
          <w:szCs w:val="23"/>
        </w:rPr>
      </w:pPr>
    </w:p>
    <w:p w14:paraId="6FC09609" w14:textId="77777777" w:rsidR="00D729BE" w:rsidRDefault="008D4C55" w:rsidP="006B222B">
      <w:pPr>
        <w:pStyle w:val="elementtoproof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9065C">
        <w:rPr>
          <w:rFonts w:ascii="Arial" w:hAnsi="Arial" w:cs="Arial"/>
          <w:color w:val="000000"/>
          <w:sz w:val="23"/>
          <w:szCs w:val="23"/>
        </w:rPr>
        <w:t xml:space="preserve">Nel documento presentato, i commercialisti sottolineano l’importanza di </w:t>
      </w:r>
      <w:r w:rsidR="006B222B">
        <w:rPr>
          <w:rFonts w:ascii="Arial" w:hAnsi="Arial" w:cs="Arial"/>
          <w:color w:val="000000"/>
          <w:sz w:val="23"/>
          <w:szCs w:val="23"/>
        </w:rPr>
        <w:t>f</w:t>
      </w:r>
      <w:r w:rsidR="00875577" w:rsidRPr="00A9065C">
        <w:rPr>
          <w:rFonts w:ascii="Arial" w:hAnsi="Arial" w:cs="Arial"/>
          <w:color w:val="000000"/>
          <w:sz w:val="23"/>
          <w:szCs w:val="23"/>
        </w:rPr>
        <w:t>issare criteri puntuali</w:t>
      </w:r>
      <w:r w:rsidR="00875577" w:rsidRPr="00A9065C">
        <w:rPr>
          <w:rFonts w:ascii="Arial" w:eastAsia="Times New Roman" w:hAnsi="Arial" w:cs="Arial"/>
          <w:color w:val="000000"/>
          <w:sz w:val="23"/>
          <w:szCs w:val="23"/>
        </w:rPr>
        <w:t xml:space="preserve"> per determinare le responsabilità ascrivibili ai sindaci al di fuori delle ipotesi di comportamenti dolosi e limitare il risarcimento dei danni nei casi </w:t>
      </w:r>
      <w:r w:rsidR="009F5AF0" w:rsidRPr="00A9065C">
        <w:rPr>
          <w:rFonts w:ascii="Arial" w:eastAsia="Times New Roman" w:hAnsi="Arial" w:cs="Arial"/>
          <w:color w:val="000000"/>
          <w:sz w:val="23"/>
          <w:szCs w:val="23"/>
        </w:rPr>
        <w:t>in cui</w:t>
      </w:r>
      <w:r w:rsidR="00875577" w:rsidRPr="00A9065C">
        <w:rPr>
          <w:rFonts w:ascii="Arial" w:eastAsia="Times New Roman" w:hAnsi="Arial" w:cs="Arial"/>
          <w:color w:val="000000"/>
          <w:sz w:val="23"/>
          <w:szCs w:val="23"/>
        </w:rPr>
        <w:t xml:space="preserve"> i sindaci stessi non si siano attivati per impedire i fatti o le omissioni degli amministratori</w:t>
      </w:r>
      <w:r w:rsidR="00E9381D" w:rsidRPr="00A9065C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14:paraId="67F20987" w14:textId="77777777" w:rsidR="00D729BE" w:rsidRDefault="00D729BE" w:rsidP="006B222B">
      <w:pPr>
        <w:pStyle w:val="elementtoproof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14:paraId="786BADD2" w14:textId="4A48DA78" w:rsidR="00E9381D" w:rsidRPr="00A9065C" w:rsidRDefault="00DB0FE6" w:rsidP="006B222B">
      <w:pPr>
        <w:pStyle w:val="elementtoproof"/>
        <w:jc w:val="both"/>
        <w:rPr>
          <w:rFonts w:ascii="Arial" w:hAnsi="Arial" w:cs="Arial"/>
          <w:color w:val="000000"/>
          <w:sz w:val="23"/>
          <w:szCs w:val="23"/>
        </w:rPr>
      </w:pPr>
      <w:r w:rsidRPr="00A9065C">
        <w:rPr>
          <w:rFonts w:ascii="Arial" w:hAnsi="Arial" w:cs="Arial"/>
          <w:color w:val="000000"/>
          <w:sz w:val="23"/>
          <w:szCs w:val="23"/>
        </w:rPr>
        <w:t>“</w:t>
      </w:r>
      <w:r w:rsidR="00C610A8" w:rsidRPr="00A9065C">
        <w:rPr>
          <w:rFonts w:ascii="Arial" w:hAnsi="Arial" w:cs="Arial"/>
          <w:color w:val="000000"/>
          <w:sz w:val="23"/>
          <w:szCs w:val="23"/>
        </w:rPr>
        <w:t xml:space="preserve">La tematica delle responsabilità civile dell’organo di controllo delle società di capitali e, più precisamente, del collegio sindacale incaricato o meno della revisione legale, rappresenta per la nostra professione </w:t>
      </w:r>
      <w:r w:rsidR="00C610A8" w:rsidRPr="00A9065C">
        <w:rPr>
          <w:rFonts w:ascii="Arial" w:hAnsi="Arial" w:cs="Arial"/>
          <w:b/>
          <w:bCs/>
          <w:color w:val="000000"/>
          <w:sz w:val="23"/>
          <w:szCs w:val="23"/>
        </w:rPr>
        <w:t>un tema di attualità e centralità</w:t>
      </w:r>
      <w:r w:rsidR="00C610A8" w:rsidRPr="00A9065C">
        <w:rPr>
          <w:rFonts w:ascii="Arial" w:hAnsi="Arial" w:cs="Arial"/>
          <w:color w:val="000000"/>
          <w:sz w:val="23"/>
          <w:szCs w:val="23"/>
        </w:rPr>
        <w:t xml:space="preserve"> </w:t>
      </w:r>
      <w:r w:rsidRPr="00A9065C">
        <w:rPr>
          <w:rFonts w:ascii="Arial" w:hAnsi="Arial" w:cs="Arial"/>
          <w:color w:val="000000"/>
          <w:sz w:val="23"/>
          <w:szCs w:val="23"/>
        </w:rPr>
        <w:t>– hanno affermato</w:t>
      </w:r>
      <w:r w:rsidR="006B222B">
        <w:rPr>
          <w:rFonts w:ascii="Arial" w:hAnsi="Arial" w:cs="Arial"/>
          <w:color w:val="000000"/>
          <w:sz w:val="23"/>
          <w:szCs w:val="23"/>
        </w:rPr>
        <w:t xml:space="preserve"> i consiglieri </w:t>
      </w:r>
      <w:r w:rsidRPr="00A9065C">
        <w:rPr>
          <w:rFonts w:ascii="Arial" w:hAnsi="Arial" w:cs="Arial"/>
          <w:b/>
          <w:bCs/>
          <w:color w:val="000000"/>
          <w:sz w:val="23"/>
          <w:szCs w:val="23"/>
        </w:rPr>
        <w:t xml:space="preserve">Ancarani </w:t>
      </w:r>
      <w:r w:rsidRPr="00A9065C">
        <w:rPr>
          <w:rFonts w:ascii="Arial" w:hAnsi="Arial" w:cs="Arial"/>
          <w:color w:val="000000"/>
          <w:sz w:val="23"/>
          <w:szCs w:val="23"/>
        </w:rPr>
        <w:t xml:space="preserve">e </w:t>
      </w:r>
      <w:r w:rsidRPr="00A9065C">
        <w:rPr>
          <w:rFonts w:ascii="Arial" w:hAnsi="Arial" w:cs="Arial"/>
          <w:b/>
          <w:bCs/>
          <w:color w:val="000000"/>
          <w:sz w:val="23"/>
          <w:szCs w:val="23"/>
        </w:rPr>
        <w:t>Masini</w:t>
      </w:r>
      <w:r w:rsidR="006B222B">
        <w:rPr>
          <w:rFonts w:ascii="Arial" w:hAnsi="Arial" w:cs="Arial"/>
          <w:color w:val="000000"/>
          <w:sz w:val="23"/>
          <w:szCs w:val="23"/>
        </w:rPr>
        <w:t xml:space="preserve"> </w:t>
      </w:r>
      <w:r w:rsidRPr="00A9065C">
        <w:rPr>
          <w:rFonts w:ascii="Arial" w:hAnsi="Arial" w:cs="Arial"/>
          <w:color w:val="000000"/>
          <w:sz w:val="23"/>
          <w:szCs w:val="23"/>
        </w:rPr>
        <w:t>nel corso dell’audizione –</w:t>
      </w:r>
      <w:r w:rsidR="00C610A8" w:rsidRPr="00A9065C">
        <w:rPr>
          <w:rFonts w:ascii="Arial" w:hAnsi="Arial" w:cs="Arial"/>
          <w:color w:val="000000"/>
          <w:sz w:val="23"/>
          <w:szCs w:val="23"/>
        </w:rPr>
        <w:t xml:space="preserve">. Un intervento di modifica dell’art. 2407, secondo comma, c.c. volto a precisare meglio il regime di responsabilità dei sindaci, disancorandolo dal compimento di fatti illeciti o dal comportamento omissivo degli amministratori, è fortemente auspicabile </w:t>
      </w:r>
      <w:r w:rsidRPr="00A9065C">
        <w:rPr>
          <w:rFonts w:ascii="Arial" w:hAnsi="Arial" w:cs="Arial"/>
          <w:color w:val="000000"/>
          <w:sz w:val="23"/>
          <w:szCs w:val="23"/>
        </w:rPr>
        <w:t xml:space="preserve">sia </w:t>
      </w:r>
      <w:r w:rsidR="006F39E8" w:rsidRPr="00A9065C">
        <w:rPr>
          <w:rFonts w:ascii="Arial" w:hAnsi="Arial" w:cs="Arial"/>
          <w:color w:val="000000"/>
          <w:sz w:val="23"/>
          <w:szCs w:val="23"/>
        </w:rPr>
        <w:t>p</w:t>
      </w:r>
      <w:r w:rsidR="00E9381D" w:rsidRPr="00A9065C">
        <w:rPr>
          <w:rFonts w:ascii="Arial" w:hAnsi="Arial" w:cs="Arial"/>
          <w:color w:val="000000"/>
          <w:sz w:val="23"/>
          <w:szCs w:val="23"/>
        </w:rPr>
        <w:t xml:space="preserve">er </w:t>
      </w:r>
      <w:r w:rsidR="00E9381D" w:rsidRPr="00A9065C">
        <w:rPr>
          <w:rFonts w:ascii="Arial" w:hAnsi="Arial" w:cs="Arial"/>
          <w:b/>
          <w:bCs/>
          <w:color w:val="000000"/>
          <w:sz w:val="23"/>
          <w:szCs w:val="23"/>
        </w:rPr>
        <w:t>evitare che le professionalità migliori non accettino gli incarichi di controllo nelle società di capitali</w:t>
      </w:r>
      <w:r w:rsidR="00E9381D" w:rsidRPr="00A9065C">
        <w:rPr>
          <w:rFonts w:ascii="Arial" w:hAnsi="Arial" w:cs="Arial"/>
          <w:color w:val="000000"/>
          <w:sz w:val="23"/>
          <w:szCs w:val="23"/>
        </w:rPr>
        <w:t xml:space="preserve">, per non esporre a rischi il loro patrimonio di conoscenze e competenze, </w:t>
      </w:r>
      <w:r w:rsidRPr="00A9065C">
        <w:rPr>
          <w:rFonts w:ascii="Arial" w:hAnsi="Arial" w:cs="Arial"/>
          <w:color w:val="000000"/>
          <w:sz w:val="23"/>
          <w:szCs w:val="23"/>
        </w:rPr>
        <w:t>sia per</w:t>
      </w:r>
      <w:r w:rsidR="00E9381D" w:rsidRPr="00A9065C">
        <w:rPr>
          <w:rFonts w:ascii="Arial" w:hAnsi="Arial" w:cs="Arial"/>
          <w:color w:val="000000"/>
          <w:sz w:val="23"/>
          <w:szCs w:val="23"/>
        </w:rPr>
        <w:t xml:space="preserve"> </w:t>
      </w:r>
      <w:r w:rsidR="00E9381D" w:rsidRPr="00A9065C">
        <w:rPr>
          <w:rFonts w:ascii="Arial" w:hAnsi="Arial" w:cs="Arial"/>
          <w:b/>
          <w:bCs/>
          <w:color w:val="000000"/>
          <w:sz w:val="23"/>
          <w:szCs w:val="23"/>
        </w:rPr>
        <w:t>facilitare l’assicurazione per danni professionali</w:t>
      </w:r>
      <w:r w:rsidR="00E9381D" w:rsidRPr="00A9065C">
        <w:rPr>
          <w:rFonts w:ascii="Arial" w:hAnsi="Arial" w:cs="Arial"/>
          <w:color w:val="000000"/>
          <w:sz w:val="23"/>
          <w:szCs w:val="23"/>
        </w:rPr>
        <w:t xml:space="preserve"> dal momento che la responsabilità solidale dei sindaci con gli amministratori contribuisce alla lievitazione dei premi assicurativi, sebbene l’organo di controllo svolta funzioni differenti da quelle proprie dell’organo di amministrazione e malgrado il sindaco non possa esprimersi sul merito degli atti di gestione”.</w:t>
      </w:r>
    </w:p>
    <w:p w14:paraId="08008E90" w14:textId="77777777" w:rsidR="00E9381D" w:rsidRPr="00A9065C" w:rsidRDefault="00E9381D" w:rsidP="00E9381D">
      <w:pPr>
        <w:pStyle w:val="elementtoproof"/>
        <w:jc w:val="both"/>
        <w:rPr>
          <w:rFonts w:ascii="Arial" w:hAnsi="Arial" w:cs="Arial"/>
          <w:color w:val="000000"/>
          <w:sz w:val="23"/>
          <w:szCs w:val="23"/>
        </w:rPr>
      </w:pPr>
    </w:p>
    <w:p w14:paraId="32AD4631" w14:textId="3B08D7FA" w:rsidR="00E9381D" w:rsidRPr="00A9065C" w:rsidRDefault="00287CAA" w:rsidP="009577EA">
      <w:pPr>
        <w:pStyle w:val="elementtoproof"/>
        <w:jc w:val="both"/>
        <w:rPr>
          <w:rFonts w:ascii="Arial" w:hAnsi="Arial" w:cs="Arial"/>
          <w:sz w:val="23"/>
          <w:szCs w:val="23"/>
        </w:rPr>
      </w:pPr>
      <w:r w:rsidRPr="00A9065C">
        <w:rPr>
          <w:rFonts w:ascii="Arial" w:hAnsi="Arial" w:cs="Arial"/>
          <w:color w:val="000000"/>
          <w:sz w:val="23"/>
          <w:szCs w:val="23"/>
        </w:rPr>
        <w:t>Per il Consiglio nazionale, inoltre, “</w:t>
      </w:r>
      <w:r w:rsidR="00587889" w:rsidRPr="00A9065C">
        <w:rPr>
          <w:rFonts w:ascii="Arial" w:hAnsi="Arial" w:cs="Arial"/>
          <w:color w:val="000000"/>
          <w:sz w:val="23"/>
          <w:szCs w:val="23"/>
        </w:rPr>
        <w:t xml:space="preserve">è condivisibile l’intenzione di </w:t>
      </w:r>
      <w:r w:rsidR="00587889" w:rsidRPr="00A9065C">
        <w:rPr>
          <w:rFonts w:ascii="Arial" w:hAnsi="Arial" w:cs="Arial"/>
          <w:b/>
          <w:bCs/>
          <w:color w:val="000000"/>
          <w:sz w:val="23"/>
          <w:szCs w:val="23"/>
        </w:rPr>
        <w:t>circoscrivere l’esposizione risarcitoria dei componenti del collegio sindacale</w:t>
      </w:r>
      <w:r w:rsidR="00587889" w:rsidRPr="00A9065C">
        <w:rPr>
          <w:rFonts w:ascii="Arial" w:hAnsi="Arial" w:cs="Arial"/>
          <w:color w:val="000000"/>
          <w:sz w:val="23"/>
          <w:szCs w:val="23"/>
        </w:rPr>
        <w:t xml:space="preserve">, perimetrando il risarcimento a un tetto massimo che coincide con un multiplo del compenso e individuando, al riguardo, </w:t>
      </w:r>
      <w:r w:rsidR="00587889" w:rsidRPr="00A9065C">
        <w:rPr>
          <w:rFonts w:ascii="Arial" w:hAnsi="Arial" w:cs="Arial"/>
          <w:b/>
          <w:bCs/>
          <w:color w:val="000000"/>
          <w:sz w:val="23"/>
          <w:szCs w:val="23"/>
        </w:rPr>
        <w:t>tre scaglioni di riferimento</w:t>
      </w:r>
      <w:r w:rsidR="00587889" w:rsidRPr="00A9065C">
        <w:rPr>
          <w:rFonts w:ascii="Arial" w:hAnsi="Arial" w:cs="Arial"/>
          <w:color w:val="000000"/>
          <w:sz w:val="23"/>
          <w:szCs w:val="23"/>
        </w:rPr>
        <w:t>. Ispirandosi a quanto fatto in altri ordinamenti europei, verrebbe introdotto un criterio mobile</w:t>
      </w:r>
      <w:r w:rsidRPr="00A9065C">
        <w:rPr>
          <w:rFonts w:ascii="Arial" w:hAnsi="Arial" w:cs="Arial"/>
          <w:color w:val="000000"/>
          <w:sz w:val="23"/>
          <w:szCs w:val="23"/>
        </w:rPr>
        <w:t>,</w:t>
      </w:r>
      <w:r w:rsidR="00587889" w:rsidRPr="00A9065C">
        <w:rPr>
          <w:rFonts w:ascii="Arial" w:hAnsi="Arial" w:cs="Arial"/>
          <w:color w:val="000000"/>
          <w:sz w:val="23"/>
          <w:szCs w:val="23"/>
        </w:rPr>
        <w:t xml:space="preserve"> ma al contempo predefinito di quantificazione del danno risarcibile, ancorando l’entità del risarcimento e le responsabilità a un parametro noto alle parti, rappresentato dal </w:t>
      </w:r>
      <w:r w:rsidR="00587889" w:rsidRPr="00A9065C">
        <w:rPr>
          <w:rFonts w:ascii="Arial" w:hAnsi="Arial" w:cs="Arial"/>
          <w:color w:val="000000"/>
          <w:sz w:val="23"/>
          <w:szCs w:val="23"/>
        </w:rPr>
        <w:lastRenderedPageBreak/>
        <w:t>compenso, e individuando un multiplo dello stesso compenso come parametro massimo per il risarcimento, così da non snaturare il criterio di liquidazione del danno rispetto alle peculiarità dell’incarico considerato nella sua tipicità</w:t>
      </w:r>
      <w:r w:rsidR="00DB0FE6" w:rsidRPr="00A9065C">
        <w:rPr>
          <w:rFonts w:ascii="Arial" w:hAnsi="Arial" w:cs="Arial"/>
          <w:color w:val="000000"/>
          <w:sz w:val="23"/>
          <w:szCs w:val="23"/>
        </w:rPr>
        <w:t>”</w:t>
      </w:r>
      <w:r w:rsidR="00587889" w:rsidRPr="00A9065C">
        <w:rPr>
          <w:rFonts w:ascii="Arial" w:hAnsi="Arial" w:cs="Arial"/>
          <w:color w:val="000000"/>
          <w:sz w:val="23"/>
          <w:szCs w:val="23"/>
        </w:rPr>
        <w:t>.</w:t>
      </w:r>
    </w:p>
    <w:p w14:paraId="6BE2D754" w14:textId="77777777" w:rsidR="00E9381D" w:rsidRPr="00A9065C" w:rsidRDefault="00E9381D" w:rsidP="009577EA">
      <w:pPr>
        <w:pStyle w:val="elementtoproof"/>
        <w:jc w:val="both"/>
        <w:rPr>
          <w:rFonts w:ascii="Arial" w:hAnsi="Arial" w:cs="Arial"/>
          <w:color w:val="000000"/>
          <w:sz w:val="23"/>
          <w:szCs w:val="23"/>
        </w:rPr>
      </w:pPr>
    </w:p>
    <w:p w14:paraId="243126D1" w14:textId="5F7E83D8" w:rsidR="001A0459" w:rsidRPr="00A9065C" w:rsidRDefault="00287CAA" w:rsidP="001A0459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A9065C">
        <w:rPr>
          <w:rFonts w:ascii="Arial" w:hAnsi="Arial" w:cs="Arial"/>
          <w:color w:val="000000"/>
          <w:sz w:val="23"/>
          <w:szCs w:val="23"/>
        </w:rPr>
        <w:t>È a</w:t>
      </w:r>
      <w:r w:rsidR="009577EA" w:rsidRPr="00A9065C">
        <w:rPr>
          <w:rFonts w:ascii="Arial" w:hAnsi="Arial" w:cs="Arial"/>
          <w:color w:val="000000"/>
          <w:sz w:val="23"/>
          <w:szCs w:val="23"/>
        </w:rPr>
        <w:t>pprezzabile</w:t>
      </w:r>
      <w:r w:rsidR="00DB0FE6" w:rsidRPr="00A9065C">
        <w:rPr>
          <w:rFonts w:ascii="Arial" w:hAnsi="Arial" w:cs="Arial"/>
          <w:color w:val="000000"/>
          <w:sz w:val="23"/>
          <w:szCs w:val="23"/>
        </w:rPr>
        <w:t xml:space="preserve">, </w:t>
      </w:r>
      <w:r w:rsidR="003B6CF5" w:rsidRPr="00A9065C">
        <w:rPr>
          <w:rFonts w:ascii="Arial" w:hAnsi="Arial" w:cs="Arial"/>
          <w:color w:val="000000"/>
          <w:sz w:val="23"/>
          <w:szCs w:val="23"/>
        </w:rPr>
        <w:t>secondo i commercialisti</w:t>
      </w:r>
      <w:r w:rsidR="00DB0FE6" w:rsidRPr="00A9065C">
        <w:rPr>
          <w:rFonts w:ascii="Arial" w:hAnsi="Arial" w:cs="Arial"/>
          <w:color w:val="000000"/>
          <w:sz w:val="23"/>
          <w:szCs w:val="23"/>
        </w:rPr>
        <w:t>,</w:t>
      </w:r>
      <w:r w:rsidR="003B6CF5" w:rsidRPr="00A9065C">
        <w:rPr>
          <w:rFonts w:ascii="Arial" w:hAnsi="Arial" w:cs="Arial"/>
          <w:color w:val="000000"/>
          <w:sz w:val="23"/>
          <w:szCs w:val="23"/>
        </w:rPr>
        <w:t xml:space="preserve"> </w:t>
      </w:r>
      <w:r w:rsidR="009577EA" w:rsidRPr="00A9065C">
        <w:rPr>
          <w:rFonts w:ascii="Arial" w:hAnsi="Arial" w:cs="Arial"/>
          <w:color w:val="000000"/>
          <w:sz w:val="23"/>
          <w:szCs w:val="23"/>
        </w:rPr>
        <w:t>che la proposta di legge non trascur</w:t>
      </w:r>
      <w:r w:rsidR="003B6CF5" w:rsidRPr="00A9065C">
        <w:rPr>
          <w:rFonts w:ascii="Arial" w:hAnsi="Arial" w:cs="Arial"/>
          <w:color w:val="000000"/>
          <w:sz w:val="23"/>
          <w:szCs w:val="23"/>
        </w:rPr>
        <w:t>i</w:t>
      </w:r>
      <w:r w:rsidR="009577EA" w:rsidRPr="00A9065C">
        <w:rPr>
          <w:rFonts w:ascii="Arial" w:hAnsi="Arial" w:cs="Arial"/>
          <w:color w:val="000000"/>
          <w:sz w:val="23"/>
          <w:szCs w:val="23"/>
        </w:rPr>
        <w:t xml:space="preserve"> gli auspici contenuti nella</w:t>
      </w:r>
      <w:r w:rsidR="009577EA" w:rsidRPr="00A9065C">
        <w:rPr>
          <w:rFonts w:ascii="Arial" w:hAnsi="Arial" w:cs="Arial"/>
          <w:sz w:val="23"/>
          <w:szCs w:val="23"/>
        </w:rPr>
        <w:t xml:space="preserve"> </w:t>
      </w:r>
      <w:r w:rsidR="009577EA" w:rsidRPr="00A9065C">
        <w:rPr>
          <w:rFonts w:ascii="Arial" w:hAnsi="Arial" w:cs="Arial"/>
          <w:color w:val="000000"/>
          <w:sz w:val="23"/>
          <w:szCs w:val="23"/>
        </w:rPr>
        <w:t xml:space="preserve">Raccomandazione della Commissione Europea del 5 giugno 2008, volti a </w:t>
      </w:r>
      <w:r w:rsidR="009577EA" w:rsidRPr="00A9065C">
        <w:rPr>
          <w:rFonts w:ascii="Arial" w:hAnsi="Arial" w:cs="Arial"/>
          <w:b/>
          <w:bCs/>
          <w:color w:val="000000"/>
          <w:sz w:val="23"/>
          <w:szCs w:val="23"/>
        </w:rPr>
        <w:t>perimetrare l’esposizione risarcitoria del revisore legale con l’individuazione di un tetto massimo</w:t>
      </w:r>
      <w:r w:rsidR="009577EA" w:rsidRPr="00A9065C">
        <w:rPr>
          <w:rFonts w:ascii="Arial" w:hAnsi="Arial" w:cs="Arial"/>
          <w:color w:val="000000"/>
          <w:sz w:val="23"/>
          <w:szCs w:val="23"/>
        </w:rPr>
        <w:t>, coincidente con una soglia legislativamente predeterminata ovvero con un multiplo del compenso.</w:t>
      </w:r>
    </w:p>
    <w:p w14:paraId="52E9CCF1" w14:textId="77777777" w:rsidR="006664F3" w:rsidRPr="00A9065C" w:rsidRDefault="006664F3" w:rsidP="001A0459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21708DB3" w14:textId="11AAD507" w:rsidR="00875577" w:rsidRPr="00A9065C" w:rsidRDefault="00287CAA" w:rsidP="00287CAA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A9065C">
        <w:rPr>
          <w:rFonts w:ascii="Arial" w:hAnsi="Arial" w:cs="Arial"/>
          <w:color w:val="000000"/>
          <w:sz w:val="23"/>
          <w:szCs w:val="23"/>
        </w:rPr>
        <w:t xml:space="preserve">Infine, la </w:t>
      </w:r>
      <w:r w:rsidR="001A0459" w:rsidRPr="00A9065C">
        <w:rPr>
          <w:rFonts w:ascii="Arial" w:hAnsi="Arial" w:cs="Arial"/>
          <w:color w:val="000000"/>
          <w:sz w:val="23"/>
          <w:szCs w:val="23"/>
        </w:rPr>
        <w:t xml:space="preserve">proposta di legge </w:t>
      </w:r>
      <w:r w:rsidRPr="00A9065C">
        <w:rPr>
          <w:rFonts w:ascii="Arial" w:hAnsi="Arial" w:cs="Arial"/>
          <w:color w:val="000000"/>
          <w:sz w:val="23"/>
          <w:szCs w:val="23"/>
        </w:rPr>
        <w:t xml:space="preserve">contribuisce </w:t>
      </w:r>
      <w:r w:rsidR="001A0459" w:rsidRPr="00A9065C">
        <w:rPr>
          <w:rFonts w:ascii="Arial" w:hAnsi="Arial" w:cs="Arial"/>
          <w:color w:val="000000"/>
          <w:sz w:val="23"/>
          <w:szCs w:val="23"/>
        </w:rPr>
        <w:t xml:space="preserve">alla diffusione di una cultura di un sistema dei controlli maggiormente lineare e definito anche sotto il </w:t>
      </w:r>
      <w:r w:rsidR="001A0459" w:rsidRPr="00A9065C">
        <w:rPr>
          <w:rFonts w:ascii="Arial" w:hAnsi="Arial" w:cs="Arial"/>
          <w:b/>
          <w:bCs/>
          <w:color w:val="000000"/>
          <w:sz w:val="23"/>
          <w:szCs w:val="23"/>
        </w:rPr>
        <w:t>profilo delle competenze tecniche</w:t>
      </w:r>
      <w:r w:rsidR="001A0459" w:rsidRPr="00A9065C">
        <w:rPr>
          <w:rFonts w:ascii="Arial" w:hAnsi="Arial" w:cs="Arial"/>
          <w:color w:val="000000"/>
          <w:sz w:val="23"/>
          <w:szCs w:val="23"/>
        </w:rPr>
        <w:t>, dal momento che è ipotizzabile che criteri ragionevoli e certi per una determinazione normativa in ordine all’entità del risarcimento del danno</w:t>
      </w:r>
      <w:r w:rsidRPr="00A9065C">
        <w:rPr>
          <w:rFonts w:ascii="Arial" w:hAnsi="Arial" w:cs="Arial"/>
          <w:color w:val="000000"/>
          <w:sz w:val="23"/>
          <w:szCs w:val="23"/>
        </w:rPr>
        <w:t xml:space="preserve"> </w:t>
      </w:r>
      <w:r w:rsidR="001A0459" w:rsidRPr="00A9065C">
        <w:rPr>
          <w:rFonts w:ascii="Arial" w:hAnsi="Arial" w:cs="Arial"/>
          <w:color w:val="000000"/>
          <w:sz w:val="23"/>
          <w:szCs w:val="23"/>
        </w:rPr>
        <w:t xml:space="preserve">possono </w:t>
      </w:r>
      <w:r w:rsidR="001A0459" w:rsidRPr="00A9065C">
        <w:rPr>
          <w:rFonts w:ascii="Arial" w:hAnsi="Arial" w:cs="Arial"/>
          <w:b/>
          <w:bCs/>
          <w:color w:val="000000"/>
          <w:sz w:val="23"/>
          <w:szCs w:val="23"/>
        </w:rPr>
        <w:t>attrarre professionisti esperti, competenti e dediti allo svolgimento dell’incarico</w:t>
      </w:r>
      <w:r w:rsidR="001A0459" w:rsidRPr="00A9065C">
        <w:rPr>
          <w:rFonts w:ascii="Arial" w:hAnsi="Arial" w:cs="Arial"/>
          <w:color w:val="000000"/>
          <w:sz w:val="23"/>
          <w:szCs w:val="23"/>
        </w:rPr>
        <w:t xml:space="preserve"> con la diligenza richiesta dalla natura dell’incarico</w:t>
      </w:r>
      <w:r w:rsidRPr="00A9065C">
        <w:rPr>
          <w:rFonts w:ascii="Arial" w:hAnsi="Arial" w:cs="Arial"/>
          <w:color w:val="000000"/>
          <w:sz w:val="23"/>
          <w:szCs w:val="23"/>
        </w:rPr>
        <w:t xml:space="preserve">, </w:t>
      </w:r>
      <w:r w:rsidR="001A0459" w:rsidRPr="00A9065C">
        <w:rPr>
          <w:rFonts w:ascii="Arial" w:hAnsi="Arial" w:cs="Arial"/>
          <w:color w:val="000000"/>
          <w:sz w:val="23"/>
          <w:szCs w:val="23"/>
        </w:rPr>
        <w:t xml:space="preserve">fornendo maggiori garanzie per realizzare quelle finalità di tutela dell’interesse pubblico </w:t>
      </w:r>
      <w:r w:rsidRPr="00A9065C">
        <w:rPr>
          <w:rFonts w:ascii="Arial" w:hAnsi="Arial" w:cs="Arial"/>
          <w:color w:val="000000"/>
          <w:sz w:val="23"/>
          <w:szCs w:val="23"/>
        </w:rPr>
        <w:t xml:space="preserve">a </w:t>
      </w:r>
      <w:r w:rsidR="001A0459" w:rsidRPr="00A9065C">
        <w:rPr>
          <w:rFonts w:ascii="Arial" w:hAnsi="Arial" w:cs="Arial"/>
          <w:color w:val="000000"/>
          <w:sz w:val="23"/>
          <w:szCs w:val="23"/>
        </w:rPr>
        <w:t>cui è preposto l’organo di controllo medesimo.</w:t>
      </w:r>
    </w:p>
    <w:p w14:paraId="05D2F02E" w14:textId="77777777" w:rsidR="00DB0FE6" w:rsidRPr="00A9065C" w:rsidRDefault="00DB0FE6" w:rsidP="00287CAA">
      <w:pPr>
        <w:jc w:val="both"/>
        <w:rPr>
          <w:rFonts w:ascii="Arial" w:hAnsi="Arial" w:cs="Arial"/>
          <w:color w:val="000000"/>
          <w:sz w:val="23"/>
          <w:szCs w:val="23"/>
        </w:rPr>
      </w:pPr>
    </w:p>
    <w:sectPr w:rsidR="00DB0FE6" w:rsidRPr="00A9065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5E78E" w14:textId="77777777" w:rsidR="002E3353" w:rsidRDefault="002E3353" w:rsidP="0053767A">
      <w:r>
        <w:separator/>
      </w:r>
    </w:p>
  </w:endnote>
  <w:endnote w:type="continuationSeparator" w:id="0">
    <w:p w14:paraId="2F45F83D" w14:textId="77777777" w:rsidR="002E3353" w:rsidRDefault="002E3353" w:rsidP="0053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D7E12" w14:textId="77777777" w:rsidR="002E3353" w:rsidRDefault="002E3353" w:rsidP="0053767A">
      <w:r>
        <w:separator/>
      </w:r>
    </w:p>
  </w:footnote>
  <w:footnote w:type="continuationSeparator" w:id="0">
    <w:p w14:paraId="3E70DE63" w14:textId="77777777" w:rsidR="002E3353" w:rsidRDefault="002E3353" w:rsidP="00537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CF04" w14:textId="137E3C70" w:rsidR="0053767A" w:rsidRDefault="0053767A" w:rsidP="0053767A">
    <w:pPr>
      <w:pStyle w:val="Intestazione"/>
      <w:jc w:val="center"/>
    </w:pPr>
    <w:r>
      <w:rPr>
        <w:noProof/>
      </w:rPr>
      <w:drawing>
        <wp:inline distT="0" distB="0" distL="0" distR="0" wp14:anchorId="6CE15400" wp14:editId="1B607080">
          <wp:extent cx="2493645" cy="84709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D7"/>
    <w:rsid w:val="0000607D"/>
    <w:rsid w:val="00124B6E"/>
    <w:rsid w:val="00132A25"/>
    <w:rsid w:val="00152D89"/>
    <w:rsid w:val="001A0459"/>
    <w:rsid w:val="00204DB5"/>
    <w:rsid w:val="002502F4"/>
    <w:rsid w:val="00254D79"/>
    <w:rsid w:val="00265B97"/>
    <w:rsid w:val="0027447A"/>
    <w:rsid w:val="00287CAA"/>
    <w:rsid w:val="002C046C"/>
    <w:rsid w:val="002E3353"/>
    <w:rsid w:val="002E3933"/>
    <w:rsid w:val="00336A78"/>
    <w:rsid w:val="003407A8"/>
    <w:rsid w:val="003B6CF5"/>
    <w:rsid w:val="003D5A57"/>
    <w:rsid w:val="003E6C43"/>
    <w:rsid w:val="00402D0F"/>
    <w:rsid w:val="0040487B"/>
    <w:rsid w:val="0042652A"/>
    <w:rsid w:val="0043677A"/>
    <w:rsid w:val="00450573"/>
    <w:rsid w:val="00450DF1"/>
    <w:rsid w:val="00464615"/>
    <w:rsid w:val="004B3E6D"/>
    <w:rsid w:val="004B52B8"/>
    <w:rsid w:val="004C73FD"/>
    <w:rsid w:val="005323A8"/>
    <w:rsid w:val="0053767A"/>
    <w:rsid w:val="00587889"/>
    <w:rsid w:val="005A6576"/>
    <w:rsid w:val="0065054B"/>
    <w:rsid w:val="006664F3"/>
    <w:rsid w:val="00683387"/>
    <w:rsid w:val="00686343"/>
    <w:rsid w:val="006928E0"/>
    <w:rsid w:val="006B1EB0"/>
    <w:rsid w:val="006B222B"/>
    <w:rsid w:val="006B3E6A"/>
    <w:rsid w:val="006F39E8"/>
    <w:rsid w:val="00731085"/>
    <w:rsid w:val="007C336D"/>
    <w:rsid w:val="007E017B"/>
    <w:rsid w:val="0081776A"/>
    <w:rsid w:val="0084198B"/>
    <w:rsid w:val="008643F7"/>
    <w:rsid w:val="0087548C"/>
    <w:rsid w:val="00875577"/>
    <w:rsid w:val="008B0AD7"/>
    <w:rsid w:val="008C22FF"/>
    <w:rsid w:val="008D4C55"/>
    <w:rsid w:val="008E4C2D"/>
    <w:rsid w:val="00921C2C"/>
    <w:rsid w:val="009577EA"/>
    <w:rsid w:val="009657C6"/>
    <w:rsid w:val="009D7B0D"/>
    <w:rsid w:val="009F5AF0"/>
    <w:rsid w:val="00A46128"/>
    <w:rsid w:val="00A501AA"/>
    <w:rsid w:val="00A9065C"/>
    <w:rsid w:val="00B6559A"/>
    <w:rsid w:val="00C065BA"/>
    <w:rsid w:val="00C610A8"/>
    <w:rsid w:val="00D11F59"/>
    <w:rsid w:val="00D729BE"/>
    <w:rsid w:val="00D92D7B"/>
    <w:rsid w:val="00DB0FE6"/>
    <w:rsid w:val="00DC46DB"/>
    <w:rsid w:val="00E339D8"/>
    <w:rsid w:val="00E5193A"/>
    <w:rsid w:val="00E730CE"/>
    <w:rsid w:val="00E9381D"/>
    <w:rsid w:val="00FA6626"/>
    <w:rsid w:val="00FB30D0"/>
    <w:rsid w:val="00FB414A"/>
    <w:rsid w:val="00FE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E167"/>
  <w15:chartTrackingRefBased/>
  <w15:docId w15:val="{E736ABF5-AE2F-45F8-A7AE-AFAF391E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A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B0AD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B0AD7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376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767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376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767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FE3235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3235"/>
    <w:rPr>
      <w:color w:val="605E5C"/>
      <w:shd w:val="clear" w:color="auto" w:fill="E1DFDD"/>
    </w:rPr>
  </w:style>
  <w:style w:type="paragraph" w:customStyle="1" w:styleId="elementtoproof">
    <w:name w:val="elementtoproof"/>
    <w:basedOn w:val="Normale"/>
    <w:uiPriority w:val="99"/>
    <w:semiHidden/>
    <w:rsid w:val="007E017B"/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60</cp:revision>
  <dcterms:created xsi:type="dcterms:W3CDTF">2024-03-12T08:10:00Z</dcterms:created>
  <dcterms:modified xsi:type="dcterms:W3CDTF">2024-03-12T11:44:00Z</dcterms:modified>
</cp:coreProperties>
</file>