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5076D" w14:textId="77777777" w:rsidR="00662AFF" w:rsidRPr="00662AFF" w:rsidRDefault="00662AFF" w:rsidP="00662AFF">
      <w:pPr>
        <w:tabs>
          <w:tab w:val="left" w:pos="6135"/>
        </w:tabs>
        <w:jc w:val="both"/>
        <w:rPr>
          <w:b/>
          <w:bCs/>
          <w:noProof/>
          <w:sz w:val="23"/>
          <w:szCs w:val="23"/>
          <w:lang w:val="it-IT"/>
        </w:rPr>
      </w:pPr>
      <w:r w:rsidRPr="00662AFF">
        <w:rPr>
          <w:b/>
          <w:bCs/>
          <w:noProof/>
          <w:sz w:val="23"/>
          <w:szCs w:val="23"/>
          <w:lang w:val="it-IT"/>
        </w:rPr>
        <w:t>COMUNICATO STAMPA</w:t>
      </w:r>
    </w:p>
    <w:p w14:paraId="4AEDF970" w14:textId="77777777" w:rsidR="00662AFF" w:rsidRDefault="00662AFF" w:rsidP="00662AFF">
      <w:pPr>
        <w:tabs>
          <w:tab w:val="left" w:pos="6135"/>
        </w:tabs>
        <w:jc w:val="both"/>
        <w:rPr>
          <w:noProof/>
          <w:sz w:val="23"/>
          <w:szCs w:val="23"/>
          <w:lang w:val="it-IT"/>
        </w:rPr>
      </w:pPr>
    </w:p>
    <w:p w14:paraId="27AFA6F1" w14:textId="77777777" w:rsidR="00662AFF" w:rsidRPr="00662AFF" w:rsidRDefault="00662AFF" w:rsidP="00662AFF">
      <w:pPr>
        <w:tabs>
          <w:tab w:val="left" w:pos="6135"/>
        </w:tabs>
        <w:jc w:val="both"/>
        <w:rPr>
          <w:b/>
          <w:bCs/>
          <w:noProof/>
          <w:sz w:val="23"/>
          <w:szCs w:val="23"/>
          <w:lang w:val="it-IT"/>
        </w:rPr>
      </w:pPr>
      <w:r w:rsidRPr="00662AFF">
        <w:rPr>
          <w:b/>
          <w:bCs/>
          <w:noProof/>
          <w:sz w:val="23"/>
          <w:szCs w:val="23"/>
          <w:lang w:val="it-IT"/>
        </w:rPr>
        <w:t>GIUSTIZIA TRIBUTARIA: COMMERCIALISTI, VIDEOUDIENZE NON DECOLLANO. A RISCHIO LE GARANZIE DI DIFESA</w:t>
      </w:r>
    </w:p>
    <w:p w14:paraId="733AE120" w14:textId="77777777" w:rsidR="00662AFF" w:rsidRPr="00662AFF" w:rsidRDefault="00662AFF" w:rsidP="00662AFF">
      <w:pPr>
        <w:tabs>
          <w:tab w:val="left" w:pos="6135"/>
        </w:tabs>
        <w:jc w:val="both"/>
        <w:rPr>
          <w:b/>
          <w:bCs/>
          <w:noProof/>
          <w:sz w:val="23"/>
          <w:szCs w:val="23"/>
          <w:lang w:val="it-IT"/>
        </w:rPr>
      </w:pPr>
      <w:r w:rsidRPr="00662AFF">
        <w:rPr>
          <w:b/>
          <w:bCs/>
          <w:noProof/>
          <w:sz w:val="23"/>
          <w:szCs w:val="23"/>
          <w:lang w:val="it-IT"/>
        </w:rPr>
        <w:t>Postal: “Per riforma si usi metodo Draghi sul fisco, coinvolgendo gli esperti. Preservare la natura speciale della giurisdizione tributaria e accrescere la specializzazione dei giudici”</w:t>
      </w:r>
    </w:p>
    <w:p w14:paraId="61C4654D" w14:textId="77777777" w:rsidR="00662AFF" w:rsidRDefault="00662AFF" w:rsidP="00662AFF">
      <w:pPr>
        <w:tabs>
          <w:tab w:val="left" w:pos="6135"/>
        </w:tabs>
        <w:jc w:val="both"/>
        <w:rPr>
          <w:noProof/>
          <w:sz w:val="23"/>
          <w:szCs w:val="23"/>
          <w:lang w:val="it-IT"/>
        </w:rPr>
      </w:pPr>
    </w:p>
    <w:p w14:paraId="759DEF57" w14:textId="06948F3B" w:rsidR="00662AFF" w:rsidRDefault="00662AFF" w:rsidP="00F13AA5">
      <w:pPr>
        <w:shd w:val="clear" w:color="auto" w:fill="FFFFFF"/>
        <w:jc w:val="both"/>
        <w:rPr>
          <w:rFonts w:eastAsia="Times New Roman"/>
          <w:bCs/>
          <w:sz w:val="23"/>
          <w:szCs w:val="23"/>
          <w:lang w:eastAsia="it-IT"/>
        </w:rPr>
      </w:pPr>
      <w:r w:rsidRPr="00662AFF">
        <w:rPr>
          <w:i/>
          <w:iCs/>
          <w:noProof/>
          <w:sz w:val="23"/>
          <w:szCs w:val="23"/>
          <w:lang w:val="it-IT"/>
        </w:rPr>
        <w:t>Roma, 12 marzo 2021</w:t>
      </w:r>
      <w:r>
        <w:rPr>
          <w:noProof/>
          <w:sz w:val="23"/>
          <w:szCs w:val="23"/>
          <w:lang w:val="it-IT"/>
        </w:rPr>
        <w:t xml:space="preserve"> </w:t>
      </w:r>
      <w:r>
        <w:rPr>
          <w:rFonts w:eastAsia="Times New Roman"/>
          <w:bCs/>
          <w:i/>
          <w:iCs/>
          <w:sz w:val="23"/>
          <w:szCs w:val="23"/>
          <w:lang w:eastAsia="it-IT"/>
        </w:rPr>
        <w:t xml:space="preserve">– </w:t>
      </w:r>
      <w:r>
        <w:rPr>
          <w:sz w:val="23"/>
          <w:szCs w:val="23"/>
          <w:lang w:val="it"/>
        </w:rPr>
        <w:t xml:space="preserve">“Ad ormai quattro mesi dall’approvazione delle regole per lo svolgimento delle udienze a distanza, la </w:t>
      </w:r>
      <w:proofErr w:type="spellStart"/>
      <w:r>
        <w:rPr>
          <w:b/>
          <w:sz w:val="23"/>
          <w:szCs w:val="23"/>
          <w:lang w:val="it"/>
        </w:rPr>
        <w:t>videoudienza</w:t>
      </w:r>
      <w:proofErr w:type="spellEnd"/>
      <w:r>
        <w:rPr>
          <w:sz w:val="23"/>
          <w:szCs w:val="23"/>
          <w:lang w:val="it"/>
        </w:rPr>
        <w:t xml:space="preserve"> ancora </w:t>
      </w:r>
      <w:r>
        <w:rPr>
          <w:b/>
          <w:sz w:val="23"/>
          <w:szCs w:val="23"/>
          <w:lang w:val="it"/>
        </w:rPr>
        <w:t>stenta a decollare</w:t>
      </w:r>
      <w:r>
        <w:rPr>
          <w:sz w:val="23"/>
          <w:szCs w:val="23"/>
          <w:lang w:val="it"/>
        </w:rPr>
        <w:t xml:space="preserve">. L’aspetto che più preoccupa i contribuenti e i loro difensori è che sono ancora poche le Commissioni tributarie attrezzate per gestire con </w:t>
      </w:r>
      <w:r>
        <w:rPr>
          <w:b/>
          <w:sz w:val="23"/>
          <w:szCs w:val="23"/>
          <w:lang w:val="it"/>
        </w:rPr>
        <w:t>modalità telematica</w:t>
      </w:r>
      <w:r>
        <w:rPr>
          <w:sz w:val="23"/>
          <w:szCs w:val="23"/>
          <w:lang w:val="it"/>
        </w:rPr>
        <w:t xml:space="preserve"> le udienze pubbliche. Con la conseguenza che la maggior parte di esse continua ad essere svolta con la </w:t>
      </w:r>
      <w:r>
        <w:rPr>
          <w:b/>
          <w:sz w:val="23"/>
          <w:szCs w:val="23"/>
          <w:lang w:val="it"/>
        </w:rPr>
        <w:t>modalità “cartolare”</w:t>
      </w:r>
      <w:r>
        <w:rPr>
          <w:sz w:val="23"/>
          <w:szCs w:val="23"/>
          <w:lang w:val="it"/>
        </w:rPr>
        <w:t xml:space="preserve">, con il deposito di memorie scritte, senza possibilità di incontro e di discussione orale tra le parti e il Collegio giudicante”. È quanto affermato dal Consigliere nazionale dei commercialisti, </w:t>
      </w:r>
      <w:r>
        <w:rPr>
          <w:b/>
          <w:sz w:val="23"/>
          <w:szCs w:val="23"/>
          <w:lang w:val="it"/>
        </w:rPr>
        <w:t>Maurizio Postal</w:t>
      </w:r>
      <w:r>
        <w:rPr>
          <w:sz w:val="23"/>
          <w:szCs w:val="23"/>
          <w:lang w:val="it"/>
        </w:rPr>
        <w:t xml:space="preserve">, nel suo intervento all’inaugurazione dell’anno giudiziario tributario. “Le diverse modalità di gestione delle udienze nelle 124 Commissioni tributarie - ha affermato - stanno generando, oltre che un irragionevole </w:t>
      </w:r>
      <w:r>
        <w:rPr>
          <w:b/>
          <w:sz w:val="23"/>
          <w:szCs w:val="23"/>
          <w:lang w:val="it"/>
        </w:rPr>
        <w:t>aggravio delle procedure e un’incertezza sulle regole</w:t>
      </w:r>
      <w:r>
        <w:rPr>
          <w:sz w:val="23"/>
          <w:szCs w:val="23"/>
          <w:lang w:val="it"/>
        </w:rPr>
        <w:t xml:space="preserve"> da seguire, anche livelli di tutela differenziati e “</w:t>
      </w:r>
      <w:r>
        <w:rPr>
          <w:b/>
          <w:sz w:val="23"/>
          <w:szCs w:val="23"/>
          <w:lang w:val="it"/>
        </w:rPr>
        <w:t>a macchia di leopardo</w:t>
      </w:r>
      <w:r>
        <w:rPr>
          <w:sz w:val="23"/>
          <w:szCs w:val="23"/>
          <w:lang w:val="it"/>
        </w:rPr>
        <w:t xml:space="preserve">” sul territorio nazionale, il che è francamente insostenibile, anche sotto il profilo della </w:t>
      </w:r>
      <w:r>
        <w:rPr>
          <w:b/>
          <w:sz w:val="23"/>
          <w:szCs w:val="23"/>
          <w:lang w:val="it"/>
        </w:rPr>
        <w:t>tenuta costituzionale</w:t>
      </w:r>
      <w:r>
        <w:rPr>
          <w:sz w:val="23"/>
          <w:szCs w:val="23"/>
          <w:lang w:val="it"/>
        </w:rPr>
        <w:t xml:space="preserve"> del sistema introdotto che collide fortemente con l’urgenza che venga assicurato un trattamento uniforme delle </w:t>
      </w:r>
      <w:r>
        <w:rPr>
          <w:b/>
          <w:sz w:val="23"/>
          <w:szCs w:val="23"/>
          <w:lang w:val="it"/>
        </w:rPr>
        <w:t>garanzie di difesa</w:t>
      </w:r>
      <w:r>
        <w:rPr>
          <w:sz w:val="23"/>
          <w:szCs w:val="23"/>
          <w:lang w:val="it"/>
        </w:rPr>
        <w:t xml:space="preserve">, indipendentemente dalle dotazioni tecniche della Commissione adita”. </w:t>
      </w:r>
    </w:p>
    <w:p w14:paraId="46F3CB93" w14:textId="77777777" w:rsidR="00662AFF" w:rsidRDefault="00662AFF" w:rsidP="00F13AA5">
      <w:pPr>
        <w:shd w:val="clear" w:color="auto" w:fill="FFFFFF"/>
        <w:jc w:val="both"/>
        <w:rPr>
          <w:rFonts w:eastAsia="Times New Roman"/>
          <w:bCs/>
          <w:sz w:val="23"/>
          <w:szCs w:val="23"/>
          <w:lang w:eastAsia="it-IT"/>
        </w:rPr>
      </w:pPr>
    </w:p>
    <w:p w14:paraId="11D5A0B2" w14:textId="77777777" w:rsidR="00662AFF" w:rsidRDefault="00662AFF" w:rsidP="00F13AA5">
      <w:pPr>
        <w:shd w:val="clear" w:color="auto" w:fill="FFFFFF"/>
        <w:jc w:val="both"/>
        <w:rPr>
          <w:rFonts w:eastAsia="Times New Roman"/>
          <w:bCs/>
          <w:sz w:val="23"/>
          <w:szCs w:val="23"/>
          <w:lang w:eastAsia="it-IT"/>
        </w:rPr>
      </w:pPr>
      <w:r>
        <w:rPr>
          <w:sz w:val="23"/>
          <w:szCs w:val="23"/>
          <w:lang w:val="it"/>
        </w:rPr>
        <w:t xml:space="preserve">“È vero - ha proseguito il rappresentante dei commercialisti - come ricordato dal Presidente del Consiglio di Presidenza della Giustizia Tributaria, </w:t>
      </w:r>
      <w:r>
        <w:rPr>
          <w:b/>
          <w:sz w:val="23"/>
          <w:szCs w:val="23"/>
          <w:lang w:val="it"/>
        </w:rPr>
        <w:t>Antonio Leone</w:t>
      </w:r>
      <w:r>
        <w:rPr>
          <w:sz w:val="23"/>
          <w:szCs w:val="23"/>
          <w:lang w:val="it"/>
        </w:rPr>
        <w:t xml:space="preserve">, che “al contribuente interessa che la sentenza sia tempestiva e giuridicamente corretta”, ma è altrettanto importante per il contribuente che tale risultato sia ottenuto salvaguardando, nello svolgimento del giudizio, il suo </w:t>
      </w:r>
      <w:r>
        <w:rPr>
          <w:b/>
          <w:sz w:val="23"/>
          <w:szCs w:val="23"/>
          <w:lang w:val="it"/>
        </w:rPr>
        <w:t>diritto di difesa</w:t>
      </w:r>
      <w:r>
        <w:rPr>
          <w:sz w:val="23"/>
          <w:szCs w:val="23"/>
          <w:lang w:val="it"/>
        </w:rPr>
        <w:t xml:space="preserve"> e il principio del </w:t>
      </w:r>
      <w:r>
        <w:rPr>
          <w:b/>
          <w:sz w:val="23"/>
          <w:szCs w:val="23"/>
          <w:lang w:val="it"/>
        </w:rPr>
        <w:t>giusto processo</w:t>
      </w:r>
      <w:r>
        <w:rPr>
          <w:sz w:val="23"/>
          <w:szCs w:val="23"/>
          <w:lang w:val="it"/>
        </w:rPr>
        <w:t>. Come già rilevato dal Consiglio di Stato, il contraddittorio cartolare “</w:t>
      </w:r>
      <w:r>
        <w:rPr>
          <w:b/>
          <w:sz w:val="23"/>
          <w:szCs w:val="23"/>
          <w:lang w:val="it"/>
        </w:rPr>
        <w:t>coatto</w:t>
      </w:r>
      <w:r>
        <w:rPr>
          <w:sz w:val="23"/>
          <w:szCs w:val="23"/>
          <w:lang w:val="it"/>
        </w:rPr>
        <w:t>” è incompatibile con un’interpretazione costituzionalmente orientata delle norme sull’emergenza”.</w:t>
      </w:r>
    </w:p>
    <w:p w14:paraId="4B827B6B" w14:textId="77777777" w:rsidR="00662AFF" w:rsidRDefault="00662AFF" w:rsidP="00F13AA5">
      <w:pPr>
        <w:shd w:val="clear" w:color="auto" w:fill="FFFFFF"/>
        <w:jc w:val="both"/>
        <w:rPr>
          <w:rFonts w:eastAsia="Times New Roman"/>
          <w:bCs/>
          <w:sz w:val="23"/>
          <w:szCs w:val="23"/>
          <w:lang w:eastAsia="it-IT"/>
        </w:rPr>
      </w:pPr>
    </w:p>
    <w:p w14:paraId="67C59EE5" w14:textId="77777777" w:rsidR="00662AFF" w:rsidRDefault="00662AFF" w:rsidP="00F13AA5">
      <w:pPr>
        <w:shd w:val="clear" w:color="auto" w:fill="FFFFFF"/>
        <w:jc w:val="both"/>
        <w:rPr>
          <w:rFonts w:eastAsia="Times New Roman"/>
          <w:bCs/>
          <w:sz w:val="23"/>
          <w:szCs w:val="23"/>
          <w:lang w:eastAsia="it-IT"/>
        </w:rPr>
      </w:pPr>
      <w:r>
        <w:rPr>
          <w:sz w:val="23"/>
          <w:szCs w:val="23"/>
          <w:lang w:val="it"/>
        </w:rPr>
        <w:t xml:space="preserve">Per tali ragioni, il Consiglio Nazionale dei Commercialisti si è fatto promotore di un emendamento all’articolo 27 del D.L. Ristori che, al fine di salvaguardare il principio dell’oralità dell’udienza pubblica, riconosce alle parti in causa il diritto di ottenere il </w:t>
      </w:r>
      <w:r>
        <w:rPr>
          <w:b/>
          <w:sz w:val="23"/>
          <w:szCs w:val="23"/>
          <w:lang w:val="it"/>
        </w:rPr>
        <w:t>rinvio dell’udienza</w:t>
      </w:r>
      <w:r>
        <w:rPr>
          <w:sz w:val="23"/>
          <w:szCs w:val="23"/>
          <w:lang w:val="it"/>
        </w:rPr>
        <w:t xml:space="preserve"> a nuovo ruolo, nel caso in cui sia chiesta la discussione e non sia possibile procedere mediante collegamento da remoto. “Invitiamo il legislatore – ha detto Postal - a farsi carico, quanto prima, della tutela di tale fondamentale diritto”.</w:t>
      </w:r>
    </w:p>
    <w:p w14:paraId="236DAE08" w14:textId="77777777" w:rsidR="00662AFF" w:rsidRDefault="00662AFF" w:rsidP="00F13AA5">
      <w:pPr>
        <w:pStyle w:val="Corpotesto"/>
        <w:ind w:right="131"/>
        <w:jc w:val="both"/>
        <w:rPr>
          <w:sz w:val="23"/>
          <w:szCs w:val="23"/>
          <w:lang w:val="it-IT"/>
        </w:rPr>
      </w:pPr>
    </w:p>
    <w:p w14:paraId="38D4C236" w14:textId="77777777" w:rsidR="00662AFF" w:rsidRDefault="00662AFF" w:rsidP="00472E53">
      <w:pPr>
        <w:shd w:val="clear" w:color="auto" w:fill="FFFFFF"/>
        <w:jc w:val="both"/>
        <w:rPr>
          <w:rFonts w:eastAsia="Times New Roman"/>
          <w:sz w:val="23"/>
          <w:szCs w:val="23"/>
          <w:lang w:val="it-IT" w:eastAsia="it-IT"/>
        </w:rPr>
      </w:pPr>
      <w:r>
        <w:rPr>
          <w:sz w:val="23"/>
          <w:szCs w:val="23"/>
          <w:lang w:val="it"/>
        </w:rPr>
        <w:t xml:space="preserve">Postal ha poi auspicato che “una </w:t>
      </w:r>
      <w:r>
        <w:rPr>
          <w:b/>
          <w:sz w:val="23"/>
          <w:szCs w:val="23"/>
          <w:lang w:val="it"/>
        </w:rPr>
        <w:t>stagione nuova</w:t>
      </w:r>
      <w:r>
        <w:rPr>
          <w:sz w:val="23"/>
          <w:szCs w:val="23"/>
          <w:lang w:val="it"/>
        </w:rPr>
        <w:t xml:space="preserve"> possa aprirsi per quella </w:t>
      </w:r>
      <w:r>
        <w:rPr>
          <w:b/>
          <w:sz w:val="23"/>
          <w:szCs w:val="23"/>
          <w:lang w:val="it"/>
        </w:rPr>
        <w:t>riforma</w:t>
      </w:r>
      <w:r>
        <w:rPr>
          <w:sz w:val="23"/>
          <w:szCs w:val="23"/>
          <w:lang w:val="it"/>
        </w:rPr>
        <w:t xml:space="preserve"> della Giustizia tributaria, più volte annunciata, ma ancora non realizzata. </w:t>
      </w:r>
      <w:r>
        <w:rPr>
          <w:lang w:val="it"/>
        </w:rPr>
        <w:t xml:space="preserve"> </w:t>
      </w:r>
      <w:r>
        <w:rPr>
          <w:sz w:val="23"/>
          <w:szCs w:val="23"/>
          <w:lang w:val="it"/>
        </w:rPr>
        <w:t>Il futuro possibile assetto da dare agli organi di giurisdizione tributaria costituisce senza dubbio un tema centrale, da ritenersi fondamentale per il corretto dispiegarsi del rapporto Fisco-Contribuenti.</w:t>
      </w:r>
      <w:r>
        <w:rPr>
          <w:lang w:val="it"/>
        </w:rPr>
        <w:t xml:space="preserve"> </w:t>
      </w:r>
      <w:r>
        <w:rPr>
          <w:sz w:val="23"/>
          <w:szCs w:val="23"/>
          <w:lang w:val="it"/>
        </w:rPr>
        <w:t xml:space="preserve"> L’approdo finale a cui si dovrà giungere è quello di un </w:t>
      </w:r>
      <w:r>
        <w:rPr>
          <w:b/>
          <w:sz w:val="23"/>
          <w:szCs w:val="23"/>
          <w:lang w:val="it"/>
        </w:rPr>
        <w:t>giudice più specializzato</w:t>
      </w:r>
      <w:r>
        <w:rPr>
          <w:sz w:val="23"/>
          <w:szCs w:val="23"/>
          <w:lang w:val="it"/>
        </w:rPr>
        <w:t xml:space="preserve"> e </w:t>
      </w:r>
      <w:r>
        <w:rPr>
          <w:b/>
          <w:sz w:val="23"/>
          <w:szCs w:val="23"/>
          <w:lang w:val="it"/>
        </w:rPr>
        <w:t>professionale</w:t>
      </w:r>
      <w:r>
        <w:rPr>
          <w:sz w:val="23"/>
          <w:szCs w:val="23"/>
          <w:lang w:val="it"/>
        </w:rPr>
        <w:t xml:space="preserve"> di quello attuale, a garanzia della autonomia, imparzialità e indipendenza della funzione giudicante, ridefinendo le regole del processo nel rispetto dei principi fissati dall’articolo 111 della Costituzione”.</w:t>
      </w:r>
    </w:p>
    <w:p w14:paraId="552B5880" w14:textId="77777777" w:rsidR="00662AFF" w:rsidRDefault="00662AFF" w:rsidP="00472E53">
      <w:pPr>
        <w:shd w:val="clear" w:color="auto" w:fill="FFFFFF"/>
        <w:jc w:val="both"/>
        <w:rPr>
          <w:rFonts w:eastAsia="Times New Roman"/>
          <w:bCs/>
          <w:sz w:val="23"/>
          <w:szCs w:val="23"/>
          <w:lang w:eastAsia="it-IT"/>
        </w:rPr>
      </w:pPr>
    </w:p>
    <w:p w14:paraId="7AEEF9E4" w14:textId="77777777" w:rsidR="00662AFF" w:rsidRDefault="00662AFF" w:rsidP="00472E53">
      <w:pPr>
        <w:shd w:val="clear" w:color="auto" w:fill="FFFFFF"/>
        <w:jc w:val="both"/>
        <w:rPr>
          <w:rFonts w:eastAsia="Times New Roman"/>
          <w:sz w:val="23"/>
          <w:szCs w:val="23"/>
          <w:lang w:eastAsia="it-IT"/>
        </w:rPr>
      </w:pPr>
      <w:r>
        <w:rPr>
          <w:sz w:val="23"/>
          <w:szCs w:val="23"/>
          <w:lang w:val="it"/>
        </w:rPr>
        <w:t xml:space="preserve">Postal ha aggiunto che “va preservata la </w:t>
      </w:r>
      <w:r>
        <w:rPr>
          <w:b/>
          <w:sz w:val="23"/>
          <w:szCs w:val="23"/>
          <w:lang w:val="it"/>
        </w:rPr>
        <w:t>natura speciale</w:t>
      </w:r>
      <w:r>
        <w:rPr>
          <w:sz w:val="23"/>
          <w:szCs w:val="23"/>
          <w:lang w:val="it"/>
        </w:rPr>
        <w:t xml:space="preserve"> della giurisdizione tributaria e vanno ridefiniti i </w:t>
      </w:r>
      <w:r>
        <w:rPr>
          <w:b/>
          <w:sz w:val="23"/>
          <w:szCs w:val="23"/>
          <w:lang w:val="it"/>
        </w:rPr>
        <w:t>criteri di selezione</w:t>
      </w:r>
      <w:r>
        <w:rPr>
          <w:sz w:val="23"/>
          <w:szCs w:val="23"/>
          <w:lang w:val="it"/>
        </w:rPr>
        <w:t xml:space="preserve"> dei giudici tributari. L’auspicio è che il presidente del Consiglio, </w:t>
      </w:r>
      <w:r>
        <w:rPr>
          <w:b/>
          <w:sz w:val="23"/>
          <w:szCs w:val="23"/>
          <w:lang w:val="it"/>
        </w:rPr>
        <w:t>Mario Draghi</w:t>
      </w:r>
      <w:r>
        <w:rPr>
          <w:sz w:val="23"/>
          <w:szCs w:val="23"/>
          <w:lang w:val="it"/>
        </w:rPr>
        <w:t xml:space="preserve">, voglia riservare alla riforma della Giustizia tributaria lo stesso trattamento che ha voluto indicare per la riforma del </w:t>
      </w:r>
      <w:r>
        <w:rPr>
          <w:b/>
          <w:sz w:val="23"/>
          <w:szCs w:val="23"/>
          <w:lang w:val="it"/>
        </w:rPr>
        <w:t>sistema tributario</w:t>
      </w:r>
      <w:r>
        <w:rPr>
          <w:sz w:val="23"/>
          <w:szCs w:val="23"/>
          <w:lang w:val="it"/>
        </w:rPr>
        <w:t xml:space="preserve">. Nelle dichiarazioni programmatiche del suo Governo, Draghi ha sottolineato non solo la necessità di un </w:t>
      </w:r>
      <w:r>
        <w:rPr>
          <w:b/>
          <w:sz w:val="23"/>
          <w:szCs w:val="23"/>
          <w:lang w:val="it"/>
        </w:rPr>
        <w:t>approccio sistematico</w:t>
      </w:r>
      <w:r>
        <w:rPr>
          <w:sz w:val="23"/>
          <w:szCs w:val="23"/>
          <w:lang w:val="it"/>
        </w:rPr>
        <w:t xml:space="preserve">, ma anche la necessità di affidare l’intervento riformatore ad una </w:t>
      </w:r>
      <w:r>
        <w:rPr>
          <w:b/>
          <w:sz w:val="23"/>
          <w:szCs w:val="23"/>
          <w:lang w:val="it"/>
        </w:rPr>
        <w:t>Commissione di esperti</w:t>
      </w:r>
      <w:r>
        <w:rPr>
          <w:sz w:val="23"/>
          <w:szCs w:val="23"/>
          <w:lang w:val="it"/>
        </w:rPr>
        <w:t xml:space="preserve"> che, dopo aver sentito la politica e gli altri soggetti a vario titolo interessati dalla riforma, formuli le proprie proposte”.</w:t>
      </w:r>
    </w:p>
    <w:p w14:paraId="3CF5A666" w14:textId="77777777" w:rsidR="00662AFF" w:rsidRDefault="00662AFF" w:rsidP="00472E53">
      <w:pPr>
        <w:shd w:val="clear" w:color="auto" w:fill="FFFFFF"/>
        <w:jc w:val="both"/>
        <w:rPr>
          <w:rFonts w:eastAsia="Times New Roman"/>
          <w:sz w:val="23"/>
          <w:szCs w:val="23"/>
          <w:lang w:eastAsia="it-IT"/>
        </w:rPr>
      </w:pPr>
    </w:p>
    <w:p w14:paraId="61C5312C" w14:textId="77777777" w:rsidR="00921856" w:rsidRDefault="00921856" w:rsidP="00472E53">
      <w:pPr>
        <w:shd w:val="clear" w:color="auto" w:fill="FFFFFF"/>
        <w:jc w:val="both"/>
        <w:rPr>
          <w:sz w:val="23"/>
          <w:szCs w:val="23"/>
          <w:lang w:val="it"/>
        </w:rPr>
      </w:pPr>
    </w:p>
    <w:p w14:paraId="36FD7996" w14:textId="7666D34D" w:rsidR="00662AFF" w:rsidRDefault="00662AFF" w:rsidP="00472E53">
      <w:pPr>
        <w:shd w:val="clear" w:color="auto" w:fill="FFFFFF"/>
        <w:jc w:val="both"/>
      </w:pPr>
      <w:r>
        <w:rPr>
          <w:sz w:val="23"/>
          <w:szCs w:val="23"/>
          <w:lang w:val="it"/>
        </w:rPr>
        <w:t xml:space="preserve">“La riforma della Giustizia tributaria non potrà mai dare gli effetti sperati - ha concluso Postal - se non si supera l’“impazzimento” e l’astrusità dell’attuale sistema fiscale che è divenuto ormai un vero e proprio </w:t>
      </w:r>
      <w:r>
        <w:rPr>
          <w:b/>
          <w:sz w:val="23"/>
          <w:szCs w:val="23"/>
          <w:lang w:val="it"/>
        </w:rPr>
        <w:t>ginepraio normativo</w:t>
      </w:r>
      <w:r>
        <w:rPr>
          <w:sz w:val="23"/>
          <w:szCs w:val="23"/>
          <w:lang w:val="it"/>
        </w:rPr>
        <w:t xml:space="preserve"> difficile da gestire e interpretare anche da parte degli addetti ai lavori, giudici, enti impositori e professionisti abilitati alla difesa”.</w:t>
      </w:r>
    </w:p>
    <w:p w14:paraId="352E43DD" w14:textId="77777777" w:rsidR="00662AFF" w:rsidRPr="00662AFF" w:rsidRDefault="00662AFF" w:rsidP="00472E53">
      <w:pPr>
        <w:tabs>
          <w:tab w:val="left" w:pos="6135"/>
        </w:tabs>
        <w:jc w:val="both"/>
        <w:rPr>
          <w:lang w:val="it-IT"/>
        </w:rPr>
      </w:pPr>
    </w:p>
    <w:p w14:paraId="4C454A60" w14:textId="7233DEA8" w:rsidR="00662AFF" w:rsidRPr="00662AFF" w:rsidRDefault="00662AFF" w:rsidP="00662AFF">
      <w:pPr>
        <w:tabs>
          <w:tab w:val="left" w:pos="6135"/>
        </w:tabs>
        <w:jc w:val="both"/>
        <w:rPr>
          <w:lang w:val="it-IT"/>
        </w:rPr>
      </w:pPr>
    </w:p>
    <w:sectPr w:rsidR="00662AFF" w:rsidRPr="00662AFF">
      <w:headerReference w:type="default" r:id="rId8"/>
      <w:type w:val="continuous"/>
      <w:pgSz w:w="11910" w:h="16840"/>
      <w:pgMar w:top="7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BCEDD" w14:textId="77777777" w:rsidR="003E20D0" w:rsidRDefault="003E20D0" w:rsidP="00921856">
      <w:r>
        <w:separator/>
      </w:r>
    </w:p>
  </w:endnote>
  <w:endnote w:type="continuationSeparator" w:id="0">
    <w:p w14:paraId="6B2C7E9E" w14:textId="77777777" w:rsidR="003E20D0" w:rsidRDefault="003E20D0" w:rsidP="0092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ED940" w14:textId="77777777" w:rsidR="003E20D0" w:rsidRDefault="003E20D0" w:rsidP="00921856">
      <w:r>
        <w:separator/>
      </w:r>
    </w:p>
  </w:footnote>
  <w:footnote w:type="continuationSeparator" w:id="0">
    <w:p w14:paraId="1CA5F573" w14:textId="77777777" w:rsidR="003E20D0" w:rsidRDefault="003E20D0" w:rsidP="0092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1ACB" w14:textId="65CAD73A" w:rsidR="00921856" w:rsidRDefault="00921856">
    <w:pPr>
      <w:pStyle w:val="Intestazione"/>
    </w:pPr>
    <w:r w:rsidRPr="0089182E">
      <w:rPr>
        <w:rFonts w:ascii="Times New Roman"/>
        <w:noProof/>
        <w:sz w:val="20"/>
        <w:lang w:val="it-IT"/>
      </w:rPr>
      <w:drawing>
        <wp:inline distT="0" distB="0" distL="0" distR="0" wp14:anchorId="31AFB20D" wp14:editId="3C4E585E">
          <wp:extent cx="6117067" cy="96916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7067" cy="96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B3BEC"/>
    <w:multiLevelType w:val="hybridMultilevel"/>
    <w:tmpl w:val="2174B316"/>
    <w:lvl w:ilvl="0" w:tplc="833AC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79"/>
    <w:rsid w:val="000C6165"/>
    <w:rsid w:val="00173E79"/>
    <w:rsid w:val="00220B46"/>
    <w:rsid w:val="002A32EB"/>
    <w:rsid w:val="00353997"/>
    <w:rsid w:val="0037294E"/>
    <w:rsid w:val="003B576E"/>
    <w:rsid w:val="003E20D0"/>
    <w:rsid w:val="005E0C02"/>
    <w:rsid w:val="00662AFF"/>
    <w:rsid w:val="0087519B"/>
    <w:rsid w:val="00921856"/>
    <w:rsid w:val="00DC51B4"/>
    <w:rsid w:val="00E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7B11"/>
  <w15:docId w15:val="{30AF4830-6A91-48D6-AAF3-F1483EC1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218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85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9218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85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7D16-0619-453E-8D38-707C16E5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Mastrogiacomo Tiziana</dc:creator>
  <cp:lastModifiedBy>Mastrogiacomo Tiziana</cp:lastModifiedBy>
  <cp:revision>6</cp:revision>
  <dcterms:created xsi:type="dcterms:W3CDTF">2021-03-12T16:12:00Z</dcterms:created>
  <dcterms:modified xsi:type="dcterms:W3CDTF">2021-03-12T17:16:00Z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2021-03-09T00:00:00Z</vt:filetime>
  </property>
</Properties>
</file>