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104" w:rsidRPr="00FC0065" w:rsidRDefault="009D1104" w:rsidP="00FC0065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:rsidR="00FC0065" w:rsidRPr="00FC0065" w:rsidRDefault="00FC0065" w:rsidP="00FC006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Comunicato stampa</w:t>
      </w:r>
    </w:p>
    <w:p w:rsidR="00FC0065" w:rsidRDefault="00FC0065" w:rsidP="00FC006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201F1E"/>
        </w:rPr>
      </w:pPr>
    </w:p>
    <w:p w:rsidR="00FC0065" w:rsidRPr="00FC0065" w:rsidRDefault="00FC0065" w:rsidP="00FC006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01F1E"/>
        </w:rPr>
      </w:pPr>
      <w:r w:rsidRPr="00FC0065">
        <w:rPr>
          <w:rFonts w:ascii="Arial" w:hAnsi="Arial" w:cs="Arial"/>
          <w:b/>
          <w:bCs/>
          <w:color w:val="201F1E"/>
        </w:rPr>
        <w:t>COMMERCIALISTI, PUBBLICATE LE NORME DI COMPORTAMENTO DELL’ORGANO DI CONTROLLO DEGLI ENTI DEL TERZO SETTORE</w:t>
      </w:r>
    </w:p>
    <w:p w:rsidR="00FC0065" w:rsidRPr="00FC0065" w:rsidRDefault="00FC0065" w:rsidP="00FC006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01F1E"/>
        </w:rPr>
      </w:pPr>
      <w:r>
        <w:rPr>
          <w:rFonts w:ascii="Arial" w:hAnsi="Arial" w:cs="Arial"/>
          <w:b/>
          <w:bCs/>
          <w:color w:val="201F1E"/>
        </w:rPr>
        <w:t>Uno s</w:t>
      </w:r>
      <w:r w:rsidRPr="00FC0065">
        <w:rPr>
          <w:rFonts w:ascii="Arial" w:hAnsi="Arial" w:cs="Arial"/>
          <w:b/>
          <w:bCs/>
          <w:color w:val="201F1E"/>
        </w:rPr>
        <w:t xml:space="preserve">trumento tecnico-operativo per </w:t>
      </w:r>
      <w:r>
        <w:rPr>
          <w:rFonts w:ascii="Arial" w:hAnsi="Arial" w:cs="Arial"/>
          <w:b/>
          <w:bCs/>
          <w:color w:val="201F1E"/>
        </w:rPr>
        <w:t>la categoria</w:t>
      </w:r>
      <w:r w:rsidRPr="00FC0065">
        <w:rPr>
          <w:rFonts w:ascii="Arial" w:hAnsi="Arial" w:cs="Arial"/>
          <w:b/>
          <w:bCs/>
          <w:color w:val="201F1E"/>
        </w:rPr>
        <w:t xml:space="preserve"> e </w:t>
      </w:r>
      <w:r>
        <w:rPr>
          <w:rFonts w:ascii="Arial" w:hAnsi="Arial" w:cs="Arial"/>
          <w:b/>
          <w:bCs/>
          <w:color w:val="201F1E"/>
        </w:rPr>
        <w:t xml:space="preserve">un </w:t>
      </w:r>
      <w:r w:rsidRPr="00FC0065">
        <w:rPr>
          <w:rFonts w:ascii="Arial" w:hAnsi="Arial" w:cs="Arial"/>
          <w:b/>
          <w:bCs/>
          <w:color w:val="201F1E"/>
        </w:rPr>
        <w:t xml:space="preserve">punto di riferimento per l’analisi di molte tematiche operative e procedurali </w:t>
      </w:r>
      <w:r>
        <w:rPr>
          <w:rFonts w:ascii="Arial" w:hAnsi="Arial" w:cs="Arial"/>
          <w:b/>
          <w:bCs/>
          <w:color w:val="201F1E"/>
        </w:rPr>
        <w:t>su</w:t>
      </w:r>
      <w:r w:rsidRPr="00FC0065">
        <w:rPr>
          <w:rFonts w:ascii="Arial" w:hAnsi="Arial" w:cs="Arial"/>
          <w:b/>
          <w:bCs/>
          <w:color w:val="201F1E"/>
        </w:rPr>
        <w:t>ll’adozione delle disposizioni contenute nel Codice del Terzo settore</w:t>
      </w:r>
    </w:p>
    <w:p w:rsidR="00FC0065" w:rsidRDefault="00FC0065" w:rsidP="00FC006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201F1E"/>
        </w:rPr>
      </w:pPr>
    </w:p>
    <w:p w:rsidR="00FC0065" w:rsidRPr="00FC0065" w:rsidRDefault="00FC0065" w:rsidP="00FC006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 w:rsidRPr="00FC0065">
        <w:rPr>
          <w:rFonts w:ascii="Arial" w:hAnsi="Arial" w:cs="Arial"/>
          <w:i/>
          <w:iCs/>
          <w:color w:val="201F1E"/>
        </w:rPr>
        <w:t xml:space="preserve">Roma, 11 dicembre 2020 </w:t>
      </w:r>
      <w:r w:rsidR="00FE4D7B">
        <w:rPr>
          <w:rFonts w:ascii="Arial" w:hAnsi="Arial" w:cs="Arial"/>
          <w:i/>
          <w:iCs/>
          <w:color w:val="201F1E"/>
        </w:rPr>
        <w:t>–</w:t>
      </w:r>
      <w:r w:rsidRPr="00FC0065">
        <w:rPr>
          <w:rFonts w:ascii="Arial" w:hAnsi="Arial" w:cs="Arial"/>
          <w:i/>
          <w:iCs/>
          <w:color w:val="201F1E"/>
        </w:rPr>
        <w:t xml:space="preserve"> </w:t>
      </w:r>
      <w:r w:rsidRPr="00FC0065">
        <w:rPr>
          <w:rFonts w:ascii="Arial" w:hAnsi="Arial" w:cs="Arial"/>
          <w:color w:val="201F1E"/>
        </w:rPr>
        <w:t>Il Consiglio nazionale dei commercialisti ha pubblicato le “</w:t>
      </w:r>
      <w:r w:rsidRPr="00FC0065">
        <w:rPr>
          <w:rFonts w:ascii="Arial" w:hAnsi="Arial" w:cs="Arial"/>
          <w:b/>
          <w:bCs/>
          <w:color w:val="201F1E"/>
        </w:rPr>
        <w:t>Norme di comportamento dell’organo di controllo degli enti del Terzo settore</w:t>
      </w:r>
      <w:r w:rsidRPr="00FC0065">
        <w:rPr>
          <w:rFonts w:ascii="Arial" w:hAnsi="Arial" w:cs="Arial"/>
          <w:color w:val="201F1E"/>
        </w:rPr>
        <w:t xml:space="preserve">”. Le norme ambiscono a rappresentare un importante </w:t>
      </w:r>
      <w:r w:rsidRPr="00FC0065">
        <w:rPr>
          <w:rFonts w:ascii="Arial" w:hAnsi="Arial" w:cs="Arial"/>
          <w:b/>
          <w:bCs/>
          <w:color w:val="201F1E"/>
        </w:rPr>
        <w:t xml:space="preserve">strumento tecnico-applicativo </w:t>
      </w:r>
      <w:r w:rsidRPr="00FC0065">
        <w:rPr>
          <w:rFonts w:ascii="Arial" w:hAnsi="Arial" w:cs="Arial"/>
          <w:color w:val="201F1E"/>
        </w:rPr>
        <w:t xml:space="preserve">per i commercialisti che operano come componenti dell’organo di controllo degli enti del Terzo settore e, allo stesso tempo, si pongono come </w:t>
      </w:r>
      <w:r w:rsidRPr="00FC0065">
        <w:rPr>
          <w:rFonts w:ascii="Arial" w:hAnsi="Arial" w:cs="Arial"/>
          <w:b/>
          <w:bCs/>
          <w:color w:val="201F1E"/>
        </w:rPr>
        <w:t>punto di riferimento</w:t>
      </w:r>
      <w:r w:rsidRPr="00FC0065">
        <w:rPr>
          <w:rFonts w:ascii="Arial" w:hAnsi="Arial" w:cs="Arial"/>
          <w:color w:val="201F1E"/>
        </w:rPr>
        <w:t xml:space="preserve"> per l’analisi di molte </w:t>
      </w:r>
      <w:r w:rsidRPr="00FC0065">
        <w:rPr>
          <w:rFonts w:ascii="Arial" w:hAnsi="Arial" w:cs="Arial"/>
          <w:b/>
          <w:bCs/>
          <w:color w:val="201F1E"/>
        </w:rPr>
        <w:t>tematiche operative e procedurali</w:t>
      </w:r>
      <w:r w:rsidRPr="00FC0065">
        <w:rPr>
          <w:rFonts w:ascii="Arial" w:hAnsi="Arial" w:cs="Arial"/>
          <w:color w:val="201F1E"/>
        </w:rPr>
        <w:t xml:space="preserve"> inerenti all’adozione delle disposizioni contenute nel </w:t>
      </w:r>
      <w:r w:rsidR="00FE4D7B">
        <w:rPr>
          <w:rFonts w:ascii="Arial" w:hAnsi="Arial" w:cs="Arial"/>
          <w:color w:val="201F1E"/>
        </w:rPr>
        <w:t>D</w:t>
      </w:r>
      <w:r w:rsidRPr="00FC0065">
        <w:rPr>
          <w:rFonts w:ascii="Arial" w:hAnsi="Arial" w:cs="Arial"/>
          <w:color w:val="201F1E"/>
        </w:rPr>
        <w:t>lgs n. 117 del 3 luglio 2017, recante il “Codice del Terzo settore”.</w:t>
      </w:r>
    </w:p>
    <w:p w:rsidR="00FC0065" w:rsidRPr="00FC0065" w:rsidRDefault="00FC0065" w:rsidP="00FC006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</w:p>
    <w:p w:rsidR="00FC0065" w:rsidRPr="00FC0065" w:rsidRDefault="00FC0065" w:rsidP="00FC006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 w:rsidRPr="00FC0065">
        <w:rPr>
          <w:rFonts w:ascii="Arial" w:hAnsi="Arial" w:cs="Arial"/>
          <w:color w:val="201F1E"/>
        </w:rPr>
        <w:t xml:space="preserve">Tutte le associazioni che superano i limiti dimensionali previsti nonché tutte le fondazioni che si iscriveranno nel Registro unico nazionale del Terzo settore sono tenute a nominare un </w:t>
      </w:r>
      <w:r w:rsidRPr="00FC0065">
        <w:rPr>
          <w:rFonts w:ascii="Arial" w:hAnsi="Arial" w:cs="Arial"/>
          <w:b/>
          <w:bCs/>
          <w:color w:val="201F1E"/>
        </w:rPr>
        <w:t>organo di controllo</w:t>
      </w:r>
      <w:r w:rsidRPr="00FC0065">
        <w:rPr>
          <w:rFonts w:ascii="Arial" w:hAnsi="Arial" w:cs="Arial"/>
          <w:color w:val="201F1E"/>
        </w:rPr>
        <w:t xml:space="preserve">, monocratico o collegiale, con la presenza di almeno un componente scelto tra le categorie di soggetti di cui all'articolo 2397 del </w:t>
      </w:r>
      <w:r w:rsidR="00FE4D7B">
        <w:rPr>
          <w:rFonts w:ascii="Arial" w:hAnsi="Arial" w:cs="Arial"/>
          <w:color w:val="201F1E"/>
        </w:rPr>
        <w:t>C</w:t>
      </w:r>
      <w:r w:rsidRPr="00FC0065">
        <w:rPr>
          <w:rFonts w:ascii="Arial" w:hAnsi="Arial" w:cs="Arial"/>
          <w:color w:val="201F1E"/>
        </w:rPr>
        <w:t xml:space="preserve">odice civile, quali gli </w:t>
      </w:r>
      <w:r w:rsidRPr="00FC0065">
        <w:rPr>
          <w:rFonts w:ascii="Arial" w:hAnsi="Arial" w:cs="Arial"/>
          <w:b/>
          <w:bCs/>
          <w:color w:val="201F1E"/>
        </w:rPr>
        <w:t xml:space="preserve">iscritti nella sezione A </w:t>
      </w:r>
      <w:r w:rsidR="00FE4D7B">
        <w:rPr>
          <w:rFonts w:ascii="Arial" w:hAnsi="Arial" w:cs="Arial"/>
          <w:b/>
          <w:bCs/>
          <w:color w:val="201F1E"/>
        </w:rPr>
        <w:t>“</w:t>
      </w:r>
      <w:r w:rsidRPr="00FC0065">
        <w:rPr>
          <w:rFonts w:ascii="Arial" w:hAnsi="Arial" w:cs="Arial"/>
          <w:b/>
          <w:bCs/>
          <w:color w:val="201F1E"/>
        </w:rPr>
        <w:t>Commercialisti</w:t>
      </w:r>
      <w:r w:rsidR="00FE4D7B">
        <w:rPr>
          <w:rFonts w:ascii="Arial" w:hAnsi="Arial" w:cs="Arial"/>
          <w:b/>
          <w:bCs/>
          <w:color w:val="201F1E"/>
        </w:rPr>
        <w:t>”</w:t>
      </w:r>
      <w:r w:rsidRPr="00FC0065">
        <w:rPr>
          <w:rFonts w:ascii="Arial" w:hAnsi="Arial" w:cs="Arial"/>
          <w:b/>
          <w:bCs/>
          <w:color w:val="201F1E"/>
        </w:rPr>
        <w:t xml:space="preserve"> dell’</w:t>
      </w:r>
      <w:r w:rsidR="00FE4D7B">
        <w:rPr>
          <w:rFonts w:ascii="Arial" w:hAnsi="Arial" w:cs="Arial"/>
          <w:b/>
          <w:bCs/>
          <w:color w:val="201F1E"/>
        </w:rPr>
        <w:t>A</w:t>
      </w:r>
      <w:r w:rsidRPr="00FC0065">
        <w:rPr>
          <w:rFonts w:ascii="Arial" w:hAnsi="Arial" w:cs="Arial"/>
          <w:b/>
          <w:bCs/>
          <w:color w:val="201F1E"/>
        </w:rPr>
        <w:t>lbo dei Dottori Commercialisti e degli Esperti Contabili</w:t>
      </w:r>
      <w:r w:rsidRPr="00FC0065">
        <w:rPr>
          <w:rFonts w:ascii="Arial" w:hAnsi="Arial" w:cs="Arial"/>
          <w:color w:val="201F1E"/>
        </w:rPr>
        <w:t>.</w:t>
      </w:r>
    </w:p>
    <w:p w:rsidR="00FC0065" w:rsidRPr="00FC0065" w:rsidRDefault="00FC0065" w:rsidP="00FC006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</w:p>
    <w:p w:rsidR="00FC0065" w:rsidRPr="00FC0065" w:rsidRDefault="00FC0065" w:rsidP="00FC006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 w:rsidRPr="00FC0065">
        <w:rPr>
          <w:rFonts w:ascii="Arial" w:hAnsi="Arial" w:cs="Arial"/>
          <w:color w:val="201F1E"/>
        </w:rPr>
        <w:t xml:space="preserve">L’emanazione del documento costituisce anche per i commercialisti nominati con l’approvazione dei bilanci 2019, termine differito per l’emergenza pandemica al 31 ottobre 2020, di </w:t>
      </w:r>
      <w:r w:rsidRPr="00AE18DB">
        <w:rPr>
          <w:rFonts w:ascii="Arial" w:hAnsi="Arial" w:cs="Arial"/>
          <w:b/>
          <w:bCs/>
          <w:color w:val="201F1E"/>
        </w:rPr>
        <w:t>pianificare e organizzare</w:t>
      </w:r>
      <w:r w:rsidRPr="00FC0065">
        <w:rPr>
          <w:rFonts w:ascii="Arial" w:hAnsi="Arial" w:cs="Arial"/>
          <w:color w:val="201F1E"/>
        </w:rPr>
        <w:t xml:space="preserve"> il proprio </w:t>
      </w:r>
      <w:r w:rsidRPr="00AE18DB">
        <w:rPr>
          <w:rFonts w:ascii="Arial" w:hAnsi="Arial" w:cs="Arial"/>
          <w:b/>
          <w:bCs/>
          <w:color w:val="201F1E"/>
        </w:rPr>
        <w:t>intervento di vigilanza</w:t>
      </w:r>
      <w:r w:rsidRPr="00FC0065">
        <w:rPr>
          <w:rFonts w:ascii="Arial" w:hAnsi="Arial" w:cs="Arial"/>
          <w:color w:val="201F1E"/>
        </w:rPr>
        <w:t xml:space="preserve"> e, contestualmente, mira a </w:t>
      </w:r>
      <w:r w:rsidRPr="00AE18DB">
        <w:rPr>
          <w:rFonts w:ascii="Arial" w:hAnsi="Arial" w:cs="Arial"/>
          <w:b/>
          <w:bCs/>
          <w:color w:val="201F1E"/>
        </w:rPr>
        <w:t>rendere concreta</w:t>
      </w:r>
      <w:r w:rsidRPr="00FC0065">
        <w:rPr>
          <w:rFonts w:ascii="Arial" w:hAnsi="Arial" w:cs="Arial"/>
          <w:color w:val="201F1E"/>
        </w:rPr>
        <w:t xml:space="preserve"> a tutti gli </w:t>
      </w:r>
      <w:r w:rsidRPr="00AE18DB">
        <w:rPr>
          <w:rFonts w:ascii="Arial" w:hAnsi="Arial" w:cs="Arial"/>
          <w:b/>
          <w:bCs/>
          <w:color w:val="201F1E"/>
        </w:rPr>
        <w:t>enti interessati</w:t>
      </w:r>
      <w:r w:rsidRPr="00FC0065">
        <w:rPr>
          <w:rFonts w:ascii="Arial" w:hAnsi="Arial" w:cs="Arial"/>
          <w:color w:val="201F1E"/>
        </w:rPr>
        <w:t xml:space="preserve"> quale sia la funzione dell’organo di controllo e l’importante ruolo che lo stesso ricopre nell’ambito dell’organizzazione.</w:t>
      </w:r>
    </w:p>
    <w:p w:rsidR="00FC0065" w:rsidRPr="00FC0065" w:rsidRDefault="00FC0065" w:rsidP="00FC006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</w:p>
    <w:p w:rsidR="00FC0065" w:rsidRPr="00FC0065" w:rsidRDefault="00FC0065" w:rsidP="00FC006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 w:rsidRPr="00FC0065">
        <w:rPr>
          <w:rFonts w:ascii="Arial" w:hAnsi="Arial" w:cs="Arial"/>
          <w:color w:val="201F1E"/>
        </w:rPr>
        <w:t xml:space="preserve">Le norme di comportamento riprendono, laddove ritenute compatibili ed applicabili con le finalità civiche, solidaristiche e di utilità sociale, le indicazioni contenute nelle </w:t>
      </w:r>
      <w:r w:rsidR="00FE4D7B">
        <w:rPr>
          <w:rFonts w:ascii="Arial" w:hAnsi="Arial" w:cs="Arial"/>
          <w:b/>
          <w:bCs/>
          <w:color w:val="201F1E"/>
        </w:rPr>
        <w:t>n</w:t>
      </w:r>
      <w:r w:rsidRPr="00AE18DB">
        <w:rPr>
          <w:rFonts w:ascii="Arial" w:hAnsi="Arial" w:cs="Arial"/>
          <w:b/>
          <w:bCs/>
          <w:color w:val="201F1E"/>
        </w:rPr>
        <w:t>orme di comportamento del collegio sindacale delle società non quotate</w:t>
      </w:r>
      <w:r w:rsidRPr="00FC0065">
        <w:rPr>
          <w:rFonts w:ascii="Arial" w:hAnsi="Arial" w:cs="Arial"/>
          <w:color w:val="201F1E"/>
        </w:rPr>
        <w:t xml:space="preserve">. Tuttavia, le norme in oggetto si </w:t>
      </w:r>
      <w:r w:rsidRPr="00AE18DB">
        <w:rPr>
          <w:rFonts w:ascii="Arial" w:hAnsi="Arial" w:cs="Arial"/>
          <w:b/>
          <w:bCs/>
          <w:color w:val="201F1E"/>
        </w:rPr>
        <w:t>discostano in molti aspetti</w:t>
      </w:r>
      <w:r w:rsidRPr="00FC0065">
        <w:rPr>
          <w:rFonts w:ascii="Arial" w:hAnsi="Arial" w:cs="Arial"/>
          <w:color w:val="201F1E"/>
        </w:rPr>
        <w:t xml:space="preserve"> dalle richiamate norme delle società, sia in quanto in molti ambiti esistono disposizioni specifiche per gli ETS che richiedono apposite previsioni, sia in quanto la natura e gli aspetti dimensionali e organizzativi degli enti considerati richiedono un diverso approccio comportamentale.</w:t>
      </w:r>
    </w:p>
    <w:p w:rsidR="00FC0065" w:rsidRPr="00FC0065" w:rsidRDefault="00FC0065" w:rsidP="00FC006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</w:p>
    <w:p w:rsidR="00FC0065" w:rsidRPr="00FC0065" w:rsidRDefault="00FC0065" w:rsidP="00FC006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 w:rsidRPr="00FC0065">
        <w:rPr>
          <w:rFonts w:ascii="Arial" w:hAnsi="Arial" w:cs="Arial"/>
          <w:color w:val="201F1E"/>
        </w:rPr>
        <w:t xml:space="preserve">Il Consiglio nazionale dei commercialisti auspica che l’introduzione delle norme di controllo possa </w:t>
      </w:r>
      <w:r w:rsidRPr="00AE18DB">
        <w:rPr>
          <w:rFonts w:ascii="Arial" w:hAnsi="Arial" w:cs="Arial"/>
          <w:b/>
          <w:bCs/>
          <w:color w:val="201F1E"/>
        </w:rPr>
        <w:t xml:space="preserve">recare beneficio a tutto il </w:t>
      </w:r>
      <w:r w:rsidR="00FE4D7B">
        <w:rPr>
          <w:rFonts w:ascii="Arial" w:hAnsi="Arial" w:cs="Arial"/>
          <w:b/>
          <w:bCs/>
          <w:color w:val="201F1E"/>
        </w:rPr>
        <w:t>s</w:t>
      </w:r>
      <w:r w:rsidRPr="00AE18DB">
        <w:rPr>
          <w:rFonts w:ascii="Arial" w:hAnsi="Arial" w:cs="Arial"/>
          <w:b/>
          <w:bCs/>
          <w:color w:val="201F1E"/>
        </w:rPr>
        <w:t>ettore</w:t>
      </w:r>
      <w:r w:rsidRPr="00FC0065">
        <w:rPr>
          <w:rFonts w:ascii="Arial" w:hAnsi="Arial" w:cs="Arial"/>
          <w:color w:val="201F1E"/>
        </w:rPr>
        <w:t xml:space="preserve">, contribuendo a migliorare, per tramite della garanzia fornita da </w:t>
      </w:r>
      <w:r w:rsidRPr="00AE18DB">
        <w:rPr>
          <w:rFonts w:ascii="Arial" w:hAnsi="Arial" w:cs="Arial"/>
          <w:b/>
          <w:bCs/>
          <w:color w:val="201F1E"/>
        </w:rPr>
        <w:t>controlli qualificati</w:t>
      </w:r>
      <w:r w:rsidRPr="00FC0065">
        <w:rPr>
          <w:rFonts w:ascii="Arial" w:hAnsi="Arial" w:cs="Arial"/>
          <w:color w:val="201F1E"/>
        </w:rPr>
        <w:t xml:space="preserve">, la </w:t>
      </w:r>
      <w:r w:rsidRPr="00AE18DB">
        <w:rPr>
          <w:rFonts w:ascii="Arial" w:hAnsi="Arial" w:cs="Arial"/>
          <w:b/>
          <w:bCs/>
          <w:color w:val="201F1E"/>
        </w:rPr>
        <w:t>trasparenza degli enti</w:t>
      </w:r>
      <w:r w:rsidRPr="00FC0065">
        <w:rPr>
          <w:rFonts w:ascii="Arial" w:hAnsi="Arial" w:cs="Arial"/>
          <w:color w:val="201F1E"/>
        </w:rPr>
        <w:t xml:space="preserve"> e contestualmente la </w:t>
      </w:r>
      <w:r w:rsidRPr="00AE18DB">
        <w:rPr>
          <w:rFonts w:ascii="Arial" w:hAnsi="Arial" w:cs="Arial"/>
          <w:b/>
          <w:bCs/>
          <w:color w:val="201F1E"/>
        </w:rPr>
        <w:t>fiducia</w:t>
      </w:r>
      <w:r w:rsidRPr="00FC0065">
        <w:rPr>
          <w:rFonts w:ascii="Arial" w:hAnsi="Arial" w:cs="Arial"/>
          <w:color w:val="201F1E"/>
        </w:rPr>
        <w:t xml:space="preserve"> che tutti gli stakeholder ripongono nel movimento. </w:t>
      </w:r>
    </w:p>
    <w:p w:rsidR="00B3271C" w:rsidRPr="00237BEE" w:rsidRDefault="00D82369" w:rsidP="00237BEE">
      <w:pPr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B3271C" w:rsidRPr="00237BEE" w:rsidSect="00986D9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369" w:rsidRDefault="00D82369" w:rsidP="00627996">
      <w:r>
        <w:separator/>
      </w:r>
    </w:p>
  </w:endnote>
  <w:endnote w:type="continuationSeparator" w:id="0">
    <w:p w:rsidR="00D82369" w:rsidRDefault="00D82369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369" w:rsidRDefault="00D82369" w:rsidP="00627996">
      <w:r>
        <w:separator/>
      </w:r>
    </w:p>
  </w:footnote>
  <w:footnote w:type="continuationSeparator" w:id="0">
    <w:p w:rsidR="00D82369" w:rsidRDefault="00D82369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996" w:rsidRDefault="00627996">
    <w:pPr>
      <w:pStyle w:val="Intestazione"/>
    </w:pPr>
    <w:r w:rsidRPr="00A945F8">
      <w:rPr>
        <w:noProof/>
      </w:rPr>
      <w:drawing>
        <wp:inline distT="0" distB="0" distL="0" distR="0" wp14:anchorId="40129AC2" wp14:editId="24C7E031">
          <wp:extent cx="6116320" cy="970311"/>
          <wp:effectExtent l="0" t="0" r="0" b="1270"/>
          <wp:docPr id="2" name="Immagine 2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19212F"/>
    <w:rsid w:val="001B3759"/>
    <w:rsid w:val="001D0C92"/>
    <w:rsid w:val="00206248"/>
    <w:rsid w:val="00221910"/>
    <w:rsid w:val="00237BEE"/>
    <w:rsid w:val="002B1170"/>
    <w:rsid w:val="002B1507"/>
    <w:rsid w:val="002E31F2"/>
    <w:rsid w:val="003248FA"/>
    <w:rsid w:val="003C2FC0"/>
    <w:rsid w:val="004C235E"/>
    <w:rsid w:val="00595991"/>
    <w:rsid w:val="00627996"/>
    <w:rsid w:val="00656CC5"/>
    <w:rsid w:val="00734687"/>
    <w:rsid w:val="00986D90"/>
    <w:rsid w:val="009D1104"/>
    <w:rsid w:val="009F27EC"/>
    <w:rsid w:val="00AC6BB0"/>
    <w:rsid w:val="00AE18DB"/>
    <w:rsid w:val="00D0285A"/>
    <w:rsid w:val="00D41E98"/>
    <w:rsid w:val="00D82369"/>
    <w:rsid w:val="00DB4B99"/>
    <w:rsid w:val="00F4452F"/>
    <w:rsid w:val="00FC0065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6287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2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  <w:style w:type="paragraph" w:customStyle="1" w:styleId="xmsonormal">
    <w:name w:val="x_msonormal"/>
    <w:basedOn w:val="Normale"/>
    <w:rsid w:val="00FC00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4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Mastrogiacomo Tiziana</cp:lastModifiedBy>
  <cp:revision>3</cp:revision>
  <dcterms:created xsi:type="dcterms:W3CDTF">2020-12-11T15:15:00Z</dcterms:created>
  <dcterms:modified xsi:type="dcterms:W3CDTF">2020-12-11T15:18:00Z</dcterms:modified>
</cp:coreProperties>
</file>