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D8D" w:rsidRPr="005C4B6F" w:rsidRDefault="00134D8D" w:rsidP="00134D8D">
      <w:pPr>
        <w:ind w:right="140"/>
        <w:jc w:val="both"/>
        <w:rPr>
          <w:rFonts w:ascii="Arial" w:hAnsi="Arial" w:cs="Arial"/>
          <w:b/>
          <w:bCs/>
          <w:sz w:val="24"/>
          <w:szCs w:val="24"/>
        </w:rPr>
      </w:pPr>
      <w:bookmarkStart w:id="0" w:name="_Hlk514226860"/>
      <w:bookmarkStart w:id="1" w:name="_Hlk15042534"/>
      <w:bookmarkStart w:id="2" w:name="_Hlk15900679"/>
    </w:p>
    <w:p w:rsidR="007D5CED" w:rsidRPr="00762292" w:rsidRDefault="005D59C4" w:rsidP="00D5185A">
      <w:pPr>
        <w:jc w:val="both"/>
        <w:rPr>
          <w:rFonts w:ascii="Arial" w:eastAsia="Times New Roman" w:hAnsi="Arial" w:cs="Arial"/>
          <w:b/>
          <w:bCs/>
        </w:rPr>
      </w:pPr>
      <w:bookmarkStart w:id="3" w:name="_Hlk341250"/>
      <w:bookmarkStart w:id="4" w:name="_Hlk341465"/>
      <w:bookmarkStart w:id="5" w:name="_Hlk10724548"/>
      <w:bookmarkStart w:id="6" w:name="_Hlk15040207"/>
      <w:bookmarkStart w:id="7" w:name="_Hlk24377658"/>
      <w:r w:rsidRPr="00762292">
        <w:rPr>
          <w:rFonts w:ascii="Arial" w:eastAsia="Times New Roman" w:hAnsi="Arial" w:cs="Arial"/>
          <w:b/>
          <w:bCs/>
        </w:rPr>
        <w:t xml:space="preserve">Comunicato </w:t>
      </w:r>
      <w:r w:rsidR="007D5CED" w:rsidRPr="00762292">
        <w:rPr>
          <w:rFonts w:ascii="Arial" w:eastAsia="Times New Roman" w:hAnsi="Arial" w:cs="Arial"/>
          <w:b/>
          <w:bCs/>
        </w:rPr>
        <w:t>stampa</w:t>
      </w:r>
    </w:p>
    <w:bookmarkEnd w:id="0"/>
    <w:bookmarkEnd w:id="1"/>
    <w:bookmarkEnd w:id="3"/>
    <w:bookmarkEnd w:id="4"/>
    <w:bookmarkEnd w:id="5"/>
    <w:bookmarkEnd w:id="6"/>
    <w:p w:rsidR="004F0712" w:rsidRDefault="004F0712" w:rsidP="00D5185A">
      <w:pPr>
        <w:pStyle w:val="Paragrafoelenco"/>
        <w:spacing w:line="240" w:lineRule="auto"/>
        <w:ind w:left="0"/>
        <w:rPr>
          <w:rFonts w:ascii="Arial" w:hAnsi="Arial" w:cs="Arial"/>
          <w:szCs w:val="24"/>
        </w:rPr>
      </w:pPr>
    </w:p>
    <w:bookmarkEnd w:id="2"/>
    <w:p w:rsidR="00521968" w:rsidRPr="00D5185A" w:rsidRDefault="00521968" w:rsidP="00D5185A">
      <w:pPr>
        <w:jc w:val="both"/>
        <w:rPr>
          <w:rFonts w:ascii="Arial" w:hAnsi="Arial" w:cs="Arial"/>
          <w:b/>
          <w:sz w:val="24"/>
          <w:szCs w:val="24"/>
        </w:rPr>
      </w:pPr>
      <w:r w:rsidRPr="00D5185A">
        <w:rPr>
          <w:rFonts w:ascii="Arial" w:hAnsi="Arial" w:cs="Arial"/>
          <w:b/>
          <w:sz w:val="24"/>
          <w:szCs w:val="24"/>
        </w:rPr>
        <w:t xml:space="preserve">MANOVRA: COMMERCIALISTI, TROPPI NUOVI BALZELLI, POSSIBILE RIDURLI </w:t>
      </w:r>
    </w:p>
    <w:p w:rsidR="00521968" w:rsidRPr="00175441" w:rsidRDefault="00521968" w:rsidP="00D5185A">
      <w:pPr>
        <w:jc w:val="both"/>
        <w:rPr>
          <w:rFonts w:ascii="Arial Narrow" w:hAnsi="Arial Narrow" w:cs="Arial"/>
          <w:i/>
          <w:sz w:val="24"/>
          <w:szCs w:val="24"/>
        </w:rPr>
      </w:pPr>
    </w:p>
    <w:p w:rsidR="00521968" w:rsidRPr="00521968" w:rsidRDefault="00521968" w:rsidP="00D5185A">
      <w:pPr>
        <w:jc w:val="both"/>
        <w:rPr>
          <w:rFonts w:ascii="Arial" w:hAnsi="Arial" w:cs="Arial"/>
          <w:sz w:val="24"/>
          <w:szCs w:val="24"/>
        </w:rPr>
      </w:pPr>
      <w:r w:rsidRPr="00175441">
        <w:rPr>
          <w:rFonts w:ascii="Arial" w:hAnsi="Arial" w:cs="Arial"/>
          <w:i/>
          <w:sz w:val="24"/>
          <w:szCs w:val="24"/>
        </w:rPr>
        <w:t>Roma, 11 novembre 2019 -</w:t>
      </w:r>
      <w:r w:rsidRPr="00521968">
        <w:rPr>
          <w:rFonts w:ascii="Arial" w:hAnsi="Arial" w:cs="Arial"/>
          <w:sz w:val="24"/>
          <w:szCs w:val="24"/>
        </w:rPr>
        <w:t xml:space="preserve"> Riservare alla misura sperimentale del </w:t>
      </w:r>
      <w:proofErr w:type="spellStart"/>
      <w:r w:rsidRPr="00D5185A">
        <w:rPr>
          <w:rFonts w:ascii="Arial" w:hAnsi="Arial" w:cs="Arial"/>
          <w:b/>
          <w:i/>
          <w:sz w:val="24"/>
          <w:szCs w:val="24"/>
        </w:rPr>
        <w:t>cashback</w:t>
      </w:r>
      <w:proofErr w:type="spellEnd"/>
      <w:r w:rsidRPr="00521968">
        <w:rPr>
          <w:rFonts w:ascii="Arial" w:hAnsi="Arial" w:cs="Arial"/>
          <w:sz w:val="24"/>
          <w:szCs w:val="24"/>
        </w:rPr>
        <w:t xml:space="preserve"> una dotazione di </w:t>
      </w:r>
      <w:r w:rsidRPr="00D5185A">
        <w:rPr>
          <w:rFonts w:ascii="Arial" w:hAnsi="Arial" w:cs="Arial"/>
          <w:b/>
          <w:sz w:val="24"/>
          <w:szCs w:val="24"/>
        </w:rPr>
        <w:t>1,5/2 miliardi</w:t>
      </w:r>
      <w:r w:rsidR="00175441">
        <w:rPr>
          <w:rFonts w:ascii="Arial" w:hAnsi="Arial" w:cs="Arial"/>
          <w:sz w:val="24"/>
          <w:szCs w:val="24"/>
        </w:rPr>
        <w:t xml:space="preserve">, anziché quella di </w:t>
      </w:r>
      <w:r w:rsidR="00175441" w:rsidRPr="00D5185A">
        <w:rPr>
          <w:rFonts w:ascii="Arial" w:hAnsi="Arial" w:cs="Arial"/>
          <w:b/>
          <w:sz w:val="24"/>
          <w:szCs w:val="24"/>
        </w:rPr>
        <w:t>tre miliardi</w:t>
      </w:r>
      <w:r w:rsidR="00175441">
        <w:rPr>
          <w:rFonts w:ascii="Arial" w:hAnsi="Arial" w:cs="Arial"/>
          <w:sz w:val="24"/>
          <w:szCs w:val="24"/>
        </w:rPr>
        <w:t xml:space="preserve"> attualmente prevista in manovra</w:t>
      </w:r>
      <w:r w:rsidRPr="00521968">
        <w:rPr>
          <w:rFonts w:ascii="Arial" w:hAnsi="Arial" w:cs="Arial"/>
          <w:sz w:val="24"/>
          <w:szCs w:val="24"/>
        </w:rPr>
        <w:t>, per</w:t>
      </w:r>
      <w:r w:rsidR="000833E9">
        <w:rPr>
          <w:rFonts w:ascii="Arial" w:hAnsi="Arial" w:cs="Arial"/>
          <w:sz w:val="24"/>
          <w:szCs w:val="24"/>
        </w:rPr>
        <w:t xml:space="preserve"> ridurre </w:t>
      </w:r>
      <w:r w:rsidRPr="00521968">
        <w:rPr>
          <w:rFonts w:ascii="Arial" w:hAnsi="Arial" w:cs="Arial"/>
          <w:sz w:val="24"/>
          <w:szCs w:val="24"/>
        </w:rPr>
        <w:t xml:space="preserve">una serie di fonti di copertura come quelle relative alla </w:t>
      </w:r>
      <w:proofErr w:type="spellStart"/>
      <w:r w:rsidRPr="00521968">
        <w:rPr>
          <w:rFonts w:ascii="Arial" w:hAnsi="Arial" w:cs="Arial"/>
          <w:i/>
          <w:sz w:val="24"/>
          <w:szCs w:val="24"/>
        </w:rPr>
        <w:t>plastic</w:t>
      </w:r>
      <w:proofErr w:type="spellEnd"/>
      <w:r w:rsidRPr="00521968">
        <w:rPr>
          <w:rFonts w:ascii="Arial" w:hAnsi="Arial" w:cs="Arial"/>
          <w:i/>
          <w:sz w:val="24"/>
          <w:szCs w:val="24"/>
        </w:rPr>
        <w:t xml:space="preserve"> tax</w:t>
      </w:r>
      <w:r w:rsidRPr="00521968">
        <w:rPr>
          <w:rFonts w:ascii="Arial" w:hAnsi="Arial" w:cs="Arial"/>
          <w:sz w:val="24"/>
          <w:szCs w:val="24"/>
        </w:rPr>
        <w:t xml:space="preserve">, alla </w:t>
      </w:r>
      <w:r w:rsidRPr="00521968">
        <w:rPr>
          <w:rFonts w:ascii="Arial" w:hAnsi="Arial" w:cs="Arial"/>
          <w:i/>
          <w:sz w:val="24"/>
          <w:szCs w:val="24"/>
        </w:rPr>
        <w:t>sugar tax</w:t>
      </w:r>
      <w:r w:rsidRPr="00521968">
        <w:rPr>
          <w:rFonts w:ascii="Arial" w:hAnsi="Arial" w:cs="Arial"/>
          <w:sz w:val="24"/>
          <w:szCs w:val="24"/>
        </w:rPr>
        <w:t xml:space="preserve"> e alle auto aziendali. </w:t>
      </w:r>
      <w:proofErr w:type="gramStart"/>
      <w:r w:rsidRPr="00521968">
        <w:rPr>
          <w:rFonts w:ascii="Arial" w:hAnsi="Arial" w:cs="Arial"/>
          <w:sz w:val="24"/>
          <w:szCs w:val="24"/>
        </w:rPr>
        <w:t>E’</w:t>
      </w:r>
      <w:proofErr w:type="gramEnd"/>
      <w:r w:rsidRPr="00521968">
        <w:rPr>
          <w:rFonts w:ascii="Arial" w:hAnsi="Arial" w:cs="Arial"/>
          <w:sz w:val="24"/>
          <w:szCs w:val="24"/>
        </w:rPr>
        <w:t xml:space="preserve"> la proposta formulata nel consiglio nazionale dei commercialisti nel corso dell’audizione presso le Commissioni congiunte Bilancio di Camera e Senato. </w:t>
      </w:r>
    </w:p>
    <w:p w:rsidR="00521968" w:rsidRPr="00521968" w:rsidRDefault="00521968" w:rsidP="00D5185A">
      <w:pPr>
        <w:jc w:val="both"/>
        <w:rPr>
          <w:rFonts w:ascii="Arial" w:hAnsi="Arial" w:cs="Arial"/>
          <w:sz w:val="24"/>
          <w:szCs w:val="24"/>
        </w:rPr>
      </w:pPr>
    </w:p>
    <w:p w:rsidR="00521968" w:rsidRPr="00521968" w:rsidRDefault="00521968" w:rsidP="00D5185A">
      <w:pPr>
        <w:jc w:val="both"/>
        <w:rPr>
          <w:rFonts w:ascii="Arial" w:hAnsi="Arial" w:cs="Arial"/>
          <w:sz w:val="24"/>
          <w:szCs w:val="24"/>
        </w:rPr>
      </w:pPr>
      <w:r w:rsidRPr="00521968">
        <w:rPr>
          <w:rFonts w:ascii="Arial" w:hAnsi="Arial" w:cs="Arial"/>
          <w:sz w:val="24"/>
          <w:szCs w:val="24"/>
        </w:rPr>
        <w:t xml:space="preserve"> “Condividiamo la volontà politica di introdurre forme di premialità volte ad incentivare l’utilizzo della moneta elettronica – ha affermato il Consigliere nazionale </w:t>
      </w:r>
      <w:r w:rsidRPr="00521968">
        <w:rPr>
          <w:rFonts w:ascii="Arial" w:hAnsi="Arial" w:cs="Arial"/>
          <w:b/>
          <w:sz w:val="24"/>
          <w:szCs w:val="24"/>
        </w:rPr>
        <w:t>Maurizio Postal</w:t>
      </w:r>
      <w:r w:rsidRPr="00521968">
        <w:rPr>
          <w:rFonts w:ascii="Arial" w:hAnsi="Arial" w:cs="Arial"/>
          <w:sz w:val="24"/>
          <w:szCs w:val="24"/>
        </w:rPr>
        <w:t xml:space="preserve"> - ma riteniamo meritevole di un momento di riflessione ulteriore il fatto che si destinino ben 3 miliardi a questa misura in un contesto di manovra che, nella ricerca di una quadratura dei conti oggettivamente non semplice, introduce numerosi balzelli, alcuni dei quali per altro più negativi in termini di impatto sui contribuenti che non positivi in termini di gettito per l’Erario”. </w:t>
      </w:r>
    </w:p>
    <w:p w:rsidR="00521968" w:rsidRPr="00521968" w:rsidRDefault="00521968" w:rsidP="00D5185A">
      <w:pPr>
        <w:jc w:val="both"/>
        <w:rPr>
          <w:rFonts w:ascii="Arial" w:hAnsi="Arial" w:cs="Arial"/>
          <w:sz w:val="24"/>
          <w:szCs w:val="24"/>
        </w:rPr>
      </w:pPr>
    </w:p>
    <w:p w:rsidR="00521968" w:rsidRPr="00521968" w:rsidRDefault="00521968" w:rsidP="00D5185A">
      <w:pPr>
        <w:jc w:val="both"/>
        <w:rPr>
          <w:rFonts w:ascii="Arial" w:hAnsi="Arial" w:cs="Arial"/>
          <w:sz w:val="24"/>
          <w:szCs w:val="24"/>
        </w:rPr>
      </w:pPr>
      <w:r w:rsidRPr="00521968">
        <w:rPr>
          <w:rFonts w:ascii="Arial" w:hAnsi="Arial" w:cs="Arial"/>
          <w:sz w:val="24"/>
          <w:szCs w:val="24"/>
        </w:rPr>
        <w:t xml:space="preserve">“Oltre alla </w:t>
      </w:r>
      <w:proofErr w:type="spellStart"/>
      <w:r w:rsidRPr="00521968">
        <w:rPr>
          <w:rFonts w:ascii="Arial" w:hAnsi="Arial" w:cs="Arial"/>
          <w:i/>
          <w:sz w:val="24"/>
          <w:szCs w:val="24"/>
        </w:rPr>
        <w:t>plastic</w:t>
      </w:r>
      <w:proofErr w:type="spellEnd"/>
      <w:r w:rsidRPr="00521968">
        <w:rPr>
          <w:rFonts w:ascii="Arial" w:hAnsi="Arial" w:cs="Arial"/>
          <w:i/>
          <w:sz w:val="24"/>
          <w:szCs w:val="24"/>
        </w:rPr>
        <w:t xml:space="preserve"> tax</w:t>
      </w:r>
      <w:r w:rsidRPr="00521968">
        <w:rPr>
          <w:rFonts w:ascii="Arial" w:hAnsi="Arial" w:cs="Arial"/>
          <w:sz w:val="24"/>
          <w:szCs w:val="24"/>
        </w:rPr>
        <w:t xml:space="preserve">, alla </w:t>
      </w:r>
      <w:r w:rsidRPr="00521968">
        <w:rPr>
          <w:rFonts w:ascii="Arial" w:hAnsi="Arial" w:cs="Arial"/>
          <w:i/>
          <w:sz w:val="24"/>
          <w:szCs w:val="24"/>
        </w:rPr>
        <w:t>sugar tax</w:t>
      </w:r>
      <w:r w:rsidRPr="00521968">
        <w:rPr>
          <w:rFonts w:ascii="Arial" w:hAnsi="Arial" w:cs="Arial"/>
          <w:sz w:val="24"/>
          <w:szCs w:val="24"/>
        </w:rPr>
        <w:t xml:space="preserve"> e all’aumento della tassazione dei redditi dei dipendenti con auto aziendali in uso promiscuo – ha affermato Postal - di cui tanto si dibatte per la loro rilevanza quantitativa nei saldi di bilancio, si contano gli aumenti di tassazione che deriveranno dalle modifiche alla disciplina fiscale dei buoni pasto - giuste nella parte in cui incentivano il ricorso ai buoni pasto elettronici, ma discutibili in quella in cui peggiorano la legislazione vigente per quelli cartacei - e delle detrazioni IRPEF al 19 per cento per i contribuenti con reddito complessivo superiore a 120.000 euro. Riservando alla misura sperimentale del </w:t>
      </w:r>
      <w:proofErr w:type="spellStart"/>
      <w:r w:rsidRPr="00521968">
        <w:rPr>
          <w:rFonts w:ascii="Arial" w:hAnsi="Arial" w:cs="Arial"/>
          <w:i/>
          <w:sz w:val="24"/>
          <w:szCs w:val="24"/>
        </w:rPr>
        <w:t>cashback</w:t>
      </w:r>
      <w:proofErr w:type="spellEnd"/>
      <w:r w:rsidRPr="00521968">
        <w:rPr>
          <w:rFonts w:ascii="Arial" w:hAnsi="Arial" w:cs="Arial"/>
          <w:sz w:val="24"/>
          <w:szCs w:val="24"/>
        </w:rPr>
        <w:t xml:space="preserve"> una dotazione di 1,5/2 miliardi, comunque consistente e di primissima fascia, rapportata alle dotazioni finanziarie delle altre misure della manovra, si potrebbe agevolmente ridurre o direttamente eliminare una serie di fonti di copertura attualmente previste nella manovra</w:t>
      </w:r>
      <w:r w:rsidR="00175441">
        <w:rPr>
          <w:rFonts w:ascii="Arial" w:hAnsi="Arial" w:cs="Arial"/>
          <w:sz w:val="24"/>
          <w:szCs w:val="24"/>
        </w:rPr>
        <w:t>”</w:t>
      </w:r>
      <w:r w:rsidRPr="00521968">
        <w:rPr>
          <w:rFonts w:ascii="Arial" w:hAnsi="Arial" w:cs="Arial"/>
          <w:sz w:val="24"/>
          <w:szCs w:val="24"/>
        </w:rPr>
        <w:t>.</w:t>
      </w:r>
    </w:p>
    <w:p w:rsidR="00134D8D" w:rsidRPr="00521968" w:rsidRDefault="00134D8D" w:rsidP="00D5185A">
      <w:pPr>
        <w:pStyle w:val="Paragrafoelenco"/>
        <w:spacing w:line="240" w:lineRule="auto"/>
        <w:ind w:left="0"/>
        <w:rPr>
          <w:rFonts w:ascii="Arial" w:hAnsi="Arial" w:cs="Arial"/>
          <w:sz w:val="22"/>
          <w:szCs w:val="22"/>
        </w:rPr>
      </w:pPr>
      <w:bookmarkStart w:id="8" w:name="_GoBack"/>
      <w:bookmarkEnd w:id="7"/>
      <w:bookmarkEnd w:id="8"/>
    </w:p>
    <w:sectPr w:rsidR="00134D8D" w:rsidRPr="00521968" w:rsidSect="00134D8D">
      <w:headerReference w:type="default" r:id="rId8"/>
      <w:footerReference w:type="default" r:id="rId9"/>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49D" w:rsidRDefault="00E4449D" w:rsidP="0078332C">
      <w:r>
        <w:separator/>
      </w:r>
    </w:p>
  </w:endnote>
  <w:endnote w:type="continuationSeparator" w:id="0">
    <w:p w:rsidR="00E4449D" w:rsidRDefault="00E4449D"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49D" w:rsidRDefault="00E4449D" w:rsidP="0078332C">
      <w:r>
        <w:separator/>
      </w:r>
    </w:p>
  </w:footnote>
  <w:footnote w:type="continuationSeparator" w:id="0">
    <w:p w:rsidR="00E4449D" w:rsidRDefault="00E4449D"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6" name="Immagine 6"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3"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6717F0"/>
    <w:multiLevelType w:val="hybridMultilevel"/>
    <w:tmpl w:val="37307C96"/>
    <w:lvl w:ilvl="0" w:tplc="C3E8491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3F35F7"/>
    <w:multiLevelType w:val="hybridMultilevel"/>
    <w:tmpl w:val="E93C6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5F5D3D1A"/>
    <w:multiLevelType w:val="hybridMultilevel"/>
    <w:tmpl w:val="F732FA46"/>
    <w:lvl w:ilvl="0" w:tplc="839C8C8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7D5D68"/>
    <w:multiLevelType w:val="hybridMultilevel"/>
    <w:tmpl w:val="FED864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3"/>
  </w:num>
  <w:num w:numId="2">
    <w:abstractNumId w:val="1"/>
  </w:num>
  <w:num w:numId="3">
    <w:abstractNumId w:val="6"/>
  </w:num>
  <w:num w:numId="4">
    <w:abstractNumId w:val="2"/>
  </w:num>
  <w:num w:numId="5">
    <w:abstractNumId w:val="9"/>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6C7B"/>
    <w:rsid w:val="00016261"/>
    <w:rsid w:val="00022A7F"/>
    <w:rsid w:val="00024A50"/>
    <w:rsid w:val="00032856"/>
    <w:rsid w:val="000329A4"/>
    <w:rsid w:val="00037091"/>
    <w:rsid w:val="000539AC"/>
    <w:rsid w:val="0006018A"/>
    <w:rsid w:val="0007464D"/>
    <w:rsid w:val="000806B0"/>
    <w:rsid w:val="000833E9"/>
    <w:rsid w:val="00090CE4"/>
    <w:rsid w:val="0009108B"/>
    <w:rsid w:val="000B3118"/>
    <w:rsid w:val="000B3EFF"/>
    <w:rsid w:val="000C0552"/>
    <w:rsid w:val="000C19B1"/>
    <w:rsid w:val="000D01B1"/>
    <w:rsid w:val="000E3695"/>
    <w:rsid w:val="00103B90"/>
    <w:rsid w:val="00105755"/>
    <w:rsid w:val="00121C2D"/>
    <w:rsid w:val="00123B69"/>
    <w:rsid w:val="00134D8D"/>
    <w:rsid w:val="0016059D"/>
    <w:rsid w:val="001702C7"/>
    <w:rsid w:val="00173E3A"/>
    <w:rsid w:val="00173F96"/>
    <w:rsid w:val="00174310"/>
    <w:rsid w:val="00175441"/>
    <w:rsid w:val="00186787"/>
    <w:rsid w:val="00191BB6"/>
    <w:rsid w:val="00194C03"/>
    <w:rsid w:val="001A0E52"/>
    <w:rsid w:val="001B0DE6"/>
    <w:rsid w:val="001C67E1"/>
    <w:rsid w:val="001C7E5F"/>
    <w:rsid w:val="001D456F"/>
    <w:rsid w:val="002062BE"/>
    <w:rsid w:val="0021644F"/>
    <w:rsid w:val="002204CC"/>
    <w:rsid w:val="00221234"/>
    <w:rsid w:val="0022378E"/>
    <w:rsid w:val="002438B0"/>
    <w:rsid w:val="00243BD7"/>
    <w:rsid w:val="00254F13"/>
    <w:rsid w:val="00272605"/>
    <w:rsid w:val="0028246D"/>
    <w:rsid w:val="00286C68"/>
    <w:rsid w:val="00286D96"/>
    <w:rsid w:val="00294D14"/>
    <w:rsid w:val="00296A84"/>
    <w:rsid w:val="002A1399"/>
    <w:rsid w:val="002A3814"/>
    <w:rsid w:val="002A59A1"/>
    <w:rsid w:val="002A70B5"/>
    <w:rsid w:val="002A7FD0"/>
    <w:rsid w:val="002C27DE"/>
    <w:rsid w:val="002C7311"/>
    <w:rsid w:val="002D2034"/>
    <w:rsid w:val="002E259D"/>
    <w:rsid w:val="002F4704"/>
    <w:rsid w:val="00301B0A"/>
    <w:rsid w:val="00303A76"/>
    <w:rsid w:val="0030744E"/>
    <w:rsid w:val="00312A48"/>
    <w:rsid w:val="00313354"/>
    <w:rsid w:val="00316DEE"/>
    <w:rsid w:val="0033082E"/>
    <w:rsid w:val="00332874"/>
    <w:rsid w:val="00333957"/>
    <w:rsid w:val="0034450B"/>
    <w:rsid w:val="0036445C"/>
    <w:rsid w:val="00365C91"/>
    <w:rsid w:val="003808D1"/>
    <w:rsid w:val="003A03BB"/>
    <w:rsid w:val="003A742B"/>
    <w:rsid w:val="003B7329"/>
    <w:rsid w:val="003C53E7"/>
    <w:rsid w:val="003D1DEE"/>
    <w:rsid w:val="003E0F52"/>
    <w:rsid w:val="003E1A7E"/>
    <w:rsid w:val="003E753F"/>
    <w:rsid w:val="00444646"/>
    <w:rsid w:val="00445993"/>
    <w:rsid w:val="00462ADD"/>
    <w:rsid w:val="0047270A"/>
    <w:rsid w:val="00472F6D"/>
    <w:rsid w:val="00473E0A"/>
    <w:rsid w:val="00475788"/>
    <w:rsid w:val="00476C15"/>
    <w:rsid w:val="004870B2"/>
    <w:rsid w:val="004871C5"/>
    <w:rsid w:val="004A44B8"/>
    <w:rsid w:val="004A6888"/>
    <w:rsid w:val="004B2695"/>
    <w:rsid w:val="004D0E90"/>
    <w:rsid w:val="004F0712"/>
    <w:rsid w:val="004F267B"/>
    <w:rsid w:val="004F4736"/>
    <w:rsid w:val="004F7362"/>
    <w:rsid w:val="005107EC"/>
    <w:rsid w:val="00510EE4"/>
    <w:rsid w:val="00513967"/>
    <w:rsid w:val="0051452F"/>
    <w:rsid w:val="00521968"/>
    <w:rsid w:val="00543860"/>
    <w:rsid w:val="00547534"/>
    <w:rsid w:val="00555885"/>
    <w:rsid w:val="005625A8"/>
    <w:rsid w:val="005636DE"/>
    <w:rsid w:val="00564A2D"/>
    <w:rsid w:val="0058002D"/>
    <w:rsid w:val="00580C25"/>
    <w:rsid w:val="005816F1"/>
    <w:rsid w:val="00582D74"/>
    <w:rsid w:val="00590F83"/>
    <w:rsid w:val="005A3A3F"/>
    <w:rsid w:val="005C4B6F"/>
    <w:rsid w:val="005D2D5F"/>
    <w:rsid w:val="005D455A"/>
    <w:rsid w:val="005D59C4"/>
    <w:rsid w:val="005E4D40"/>
    <w:rsid w:val="005E7ECB"/>
    <w:rsid w:val="005F2F00"/>
    <w:rsid w:val="005F5B57"/>
    <w:rsid w:val="00611037"/>
    <w:rsid w:val="00616CB9"/>
    <w:rsid w:val="006273CC"/>
    <w:rsid w:val="00627473"/>
    <w:rsid w:val="00641C3C"/>
    <w:rsid w:val="00651FFD"/>
    <w:rsid w:val="0066338C"/>
    <w:rsid w:val="00677A10"/>
    <w:rsid w:val="006A0D3B"/>
    <w:rsid w:val="006C6818"/>
    <w:rsid w:val="006F4DC7"/>
    <w:rsid w:val="006F5BFD"/>
    <w:rsid w:val="007423B1"/>
    <w:rsid w:val="00743FB6"/>
    <w:rsid w:val="00762292"/>
    <w:rsid w:val="00764D9D"/>
    <w:rsid w:val="0077008C"/>
    <w:rsid w:val="007816BA"/>
    <w:rsid w:val="00782159"/>
    <w:rsid w:val="0078332C"/>
    <w:rsid w:val="0079652F"/>
    <w:rsid w:val="007B3070"/>
    <w:rsid w:val="007C14B1"/>
    <w:rsid w:val="007C3C72"/>
    <w:rsid w:val="007D5CED"/>
    <w:rsid w:val="007E44E2"/>
    <w:rsid w:val="0080283B"/>
    <w:rsid w:val="00805BDB"/>
    <w:rsid w:val="00813FF6"/>
    <w:rsid w:val="00817CAB"/>
    <w:rsid w:val="00832BE3"/>
    <w:rsid w:val="00855840"/>
    <w:rsid w:val="00862A65"/>
    <w:rsid w:val="00863104"/>
    <w:rsid w:val="00873B45"/>
    <w:rsid w:val="0087487D"/>
    <w:rsid w:val="00892C1F"/>
    <w:rsid w:val="00897D6B"/>
    <w:rsid w:val="008B2C4E"/>
    <w:rsid w:val="008C0245"/>
    <w:rsid w:val="008D7ACA"/>
    <w:rsid w:val="008E141E"/>
    <w:rsid w:val="0090175A"/>
    <w:rsid w:val="00927580"/>
    <w:rsid w:val="00933237"/>
    <w:rsid w:val="00934F3D"/>
    <w:rsid w:val="00935333"/>
    <w:rsid w:val="0094271D"/>
    <w:rsid w:val="00944056"/>
    <w:rsid w:val="009477ED"/>
    <w:rsid w:val="009618F5"/>
    <w:rsid w:val="0097646E"/>
    <w:rsid w:val="009813D9"/>
    <w:rsid w:val="00982BE2"/>
    <w:rsid w:val="00986756"/>
    <w:rsid w:val="009A1934"/>
    <w:rsid w:val="009A33C1"/>
    <w:rsid w:val="009D0B50"/>
    <w:rsid w:val="009D1F36"/>
    <w:rsid w:val="009D3EC4"/>
    <w:rsid w:val="009D3FB3"/>
    <w:rsid w:val="009D5B30"/>
    <w:rsid w:val="009D673E"/>
    <w:rsid w:val="009F0C91"/>
    <w:rsid w:val="00A07FB9"/>
    <w:rsid w:val="00A12594"/>
    <w:rsid w:val="00A22CC4"/>
    <w:rsid w:val="00A34135"/>
    <w:rsid w:val="00A41F47"/>
    <w:rsid w:val="00A46131"/>
    <w:rsid w:val="00A47BEF"/>
    <w:rsid w:val="00A5048A"/>
    <w:rsid w:val="00A52294"/>
    <w:rsid w:val="00A54335"/>
    <w:rsid w:val="00A636A8"/>
    <w:rsid w:val="00A64118"/>
    <w:rsid w:val="00A6546B"/>
    <w:rsid w:val="00A837E6"/>
    <w:rsid w:val="00A96080"/>
    <w:rsid w:val="00AA004A"/>
    <w:rsid w:val="00AA66A8"/>
    <w:rsid w:val="00AA7145"/>
    <w:rsid w:val="00AB02A8"/>
    <w:rsid w:val="00AB092F"/>
    <w:rsid w:val="00AB44A8"/>
    <w:rsid w:val="00AC2BD9"/>
    <w:rsid w:val="00AC4E17"/>
    <w:rsid w:val="00AE3DBA"/>
    <w:rsid w:val="00B01322"/>
    <w:rsid w:val="00B059EF"/>
    <w:rsid w:val="00B14747"/>
    <w:rsid w:val="00B15621"/>
    <w:rsid w:val="00B1659C"/>
    <w:rsid w:val="00B34200"/>
    <w:rsid w:val="00B42691"/>
    <w:rsid w:val="00B452B6"/>
    <w:rsid w:val="00B70218"/>
    <w:rsid w:val="00B737E0"/>
    <w:rsid w:val="00B74510"/>
    <w:rsid w:val="00B77787"/>
    <w:rsid w:val="00B90683"/>
    <w:rsid w:val="00B926C3"/>
    <w:rsid w:val="00BA04F4"/>
    <w:rsid w:val="00BB02DF"/>
    <w:rsid w:val="00BB2E5B"/>
    <w:rsid w:val="00BB7EE6"/>
    <w:rsid w:val="00BD0510"/>
    <w:rsid w:val="00BF3A80"/>
    <w:rsid w:val="00C302BD"/>
    <w:rsid w:val="00C30E85"/>
    <w:rsid w:val="00C342D6"/>
    <w:rsid w:val="00C92F98"/>
    <w:rsid w:val="00C93548"/>
    <w:rsid w:val="00C95666"/>
    <w:rsid w:val="00CB14A8"/>
    <w:rsid w:val="00CC5E7A"/>
    <w:rsid w:val="00CE403B"/>
    <w:rsid w:val="00CF6388"/>
    <w:rsid w:val="00D027DD"/>
    <w:rsid w:val="00D02F53"/>
    <w:rsid w:val="00D04ABF"/>
    <w:rsid w:val="00D051D5"/>
    <w:rsid w:val="00D078C6"/>
    <w:rsid w:val="00D07944"/>
    <w:rsid w:val="00D12802"/>
    <w:rsid w:val="00D21FB3"/>
    <w:rsid w:val="00D2261A"/>
    <w:rsid w:val="00D22A11"/>
    <w:rsid w:val="00D27080"/>
    <w:rsid w:val="00D33D3F"/>
    <w:rsid w:val="00D5185A"/>
    <w:rsid w:val="00D51E96"/>
    <w:rsid w:val="00D52EA5"/>
    <w:rsid w:val="00D65875"/>
    <w:rsid w:val="00D730A3"/>
    <w:rsid w:val="00D92A84"/>
    <w:rsid w:val="00D93385"/>
    <w:rsid w:val="00DA7914"/>
    <w:rsid w:val="00DD7923"/>
    <w:rsid w:val="00E22AF3"/>
    <w:rsid w:val="00E27B5D"/>
    <w:rsid w:val="00E27BC3"/>
    <w:rsid w:val="00E30769"/>
    <w:rsid w:val="00E33070"/>
    <w:rsid w:val="00E36AE1"/>
    <w:rsid w:val="00E4047F"/>
    <w:rsid w:val="00E4449D"/>
    <w:rsid w:val="00E6797B"/>
    <w:rsid w:val="00E855E0"/>
    <w:rsid w:val="00E91958"/>
    <w:rsid w:val="00E938B5"/>
    <w:rsid w:val="00E9545A"/>
    <w:rsid w:val="00EA25EF"/>
    <w:rsid w:val="00EA5EBD"/>
    <w:rsid w:val="00EB7E70"/>
    <w:rsid w:val="00ED08A8"/>
    <w:rsid w:val="00ED2970"/>
    <w:rsid w:val="00ED2BA2"/>
    <w:rsid w:val="00EE3C69"/>
    <w:rsid w:val="00EE51A4"/>
    <w:rsid w:val="00EE61E3"/>
    <w:rsid w:val="00EF1586"/>
    <w:rsid w:val="00EF561D"/>
    <w:rsid w:val="00EF57D4"/>
    <w:rsid w:val="00EF5A99"/>
    <w:rsid w:val="00EF7D25"/>
    <w:rsid w:val="00F00503"/>
    <w:rsid w:val="00F079D1"/>
    <w:rsid w:val="00F343CA"/>
    <w:rsid w:val="00F37FF1"/>
    <w:rsid w:val="00F67F0B"/>
    <w:rsid w:val="00F7125B"/>
    <w:rsid w:val="00F8058C"/>
    <w:rsid w:val="00F90BCE"/>
    <w:rsid w:val="00FA23ED"/>
    <w:rsid w:val="00FA5AD9"/>
    <w:rsid w:val="00FC274B"/>
    <w:rsid w:val="00FC60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7B307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styleId="Enfasigrassetto">
    <w:name w:val="Strong"/>
    <w:basedOn w:val="Carpredefinitoparagrafo"/>
    <w:uiPriority w:val="22"/>
    <w:qFormat/>
    <w:rsid w:val="00B059EF"/>
    <w:rPr>
      <w:b/>
      <w:bCs/>
    </w:rPr>
  </w:style>
  <w:style w:type="character" w:styleId="Menzionenonrisolta">
    <w:name w:val="Unresolved Mention"/>
    <w:basedOn w:val="Carpredefinitoparagrafo"/>
    <w:uiPriority w:val="99"/>
    <w:semiHidden/>
    <w:unhideWhenUsed/>
    <w:rsid w:val="00D2261A"/>
    <w:rPr>
      <w:color w:val="605E5C"/>
      <w:shd w:val="clear" w:color="auto" w:fill="E1DFDD"/>
    </w:rPr>
  </w:style>
  <w:style w:type="paragraph" w:customStyle="1" w:styleId="parar1">
    <w:name w:val="parar1"/>
    <w:basedOn w:val="Normale"/>
    <w:uiPriority w:val="99"/>
    <w:rsid w:val="005D59C4"/>
    <w:rPr>
      <w:rFonts w:ascii="Times New Roman" w:eastAsia="MS ??" w:hAnsi="Times New Roman" w:cs="Times New Roman"/>
      <w:sz w:val="24"/>
      <w:szCs w:val="24"/>
      <w:lang w:eastAsia="it-IT"/>
    </w:rPr>
  </w:style>
  <w:style w:type="character" w:customStyle="1" w:styleId="Titolo3Carattere">
    <w:name w:val="Titolo 3 Carattere"/>
    <w:basedOn w:val="Carpredefinitoparagrafo"/>
    <w:link w:val="Titolo3"/>
    <w:uiPriority w:val="9"/>
    <w:rsid w:val="007B307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547">
      <w:bodyDiv w:val="1"/>
      <w:marLeft w:val="0"/>
      <w:marRight w:val="0"/>
      <w:marTop w:val="0"/>
      <w:marBottom w:val="0"/>
      <w:divBdr>
        <w:top w:val="none" w:sz="0" w:space="0" w:color="auto"/>
        <w:left w:val="none" w:sz="0" w:space="0" w:color="auto"/>
        <w:bottom w:val="none" w:sz="0" w:space="0" w:color="auto"/>
        <w:right w:val="none" w:sz="0" w:space="0" w:color="auto"/>
      </w:divBdr>
    </w:div>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308948529">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710230005">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66818653">
      <w:bodyDiv w:val="1"/>
      <w:marLeft w:val="0"/>
      <w:marRight w:val="0"/>
      <w:marTop w:val="0"/>
      <w:marBottom w:val="0"/>
      <w:divBdr>
        <w:top w:val="none" w:sz="0" w:space="0" w:color="auto"/>
        <w:left w:val="none" w:sz="0" w:space="0" w:color="auto"/>
        <w:bottom w:val="none" w:sz="0" w:space="0" w:color="auto"/>
        <w:right w:val="none" w:sz="0" w:space="0" w:color="auto"/>
      </w:divBdr>
    </w:div>
    <w:div w:id="1218325641">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432160066">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867131865">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D8FE-5587-4F6A-AF1F-D6F773CC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307</Words>
  <Characters>1751</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4</cp:revision>
  <cp:lastPrinted>2019-07-17T10:35:00Z</cp:lastPrinted>
  <dcterms:created xsi:type="dcterms:W3CDTF">2019-11-11T13:32:00Z</dcterms:created>
  <dcterms:modified xsi:type="dcterms:W3CDTF">2019-11-11T14:16:00Z</dcterms:modified>
</cp:coreProperties>
</file>