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CC52B" w14:textId="77777777" w:rsidR="00C065BA" w:rsidRPr="004B6460" w:rsidRDefault="00C065BA" w:rsidP="00E9381D">
      <w:pPr>
        <w:pStyle w:val="NormaleWeb"/>
        <w:jc w:val="center"/>
        <w:rPr>
          <w:rFonts w:ascii="Arial" w:hAnsi="Arial" w:cs="Arial"/>
          <w:b/>
          <w:bCs/>
          <w:color w:val="000000"/>
          <w:sz w:val="23"/>
          <w:szCs w:val="23"/>
        </w:rPr>
      </w:pPr>
    </w:p>
    <w:p w14:paraId="3ED95CF4" w14:textId="77777777" w:rsidR="0072401A" w:rsidRDefault="0072401A" w:rsidP="0072401A">
      <w:pPr>
        <w:pStyle w:val="NormaleWeb"/>
        <w:jc w:val="center"/>
      </w:pPr>
      <w:r>
        <w:rPr>
          <w:rFonts w:ascii="Arial" w:hAnsi="Arial" w:cs="Arial"/>
          <w:b/>
          <w:bCs/>
          <w:color w:val="000000"/>
          <w:u w:val="single"/>
        </w:rPr>
        <w:t>Comunicato stampa</w:t>
      </w:r>
    </w:p>
    <w:p w14:paraId="33CFC300" w14:textId="77777777" w:rsidR="0072401A" w:rsidRDefault="0072401A" w:rsidP="0072401A">
      <w:pPr>
        <w:pStyle w:val="NormaleWeb"/>
        <w:spacing w:line="276" w:lineRule="auto"/>
        <w:jc w:val="center"/>
      </w:pPr>
      <w:r>
        <w:rPr>
          <w:rFonts w:ascii="Arial" w:hAnsi="Arial" w:cs="Arial"/>
          <w:b/>
          <w:bCs/>
          <w:color w:val="000000"/>
        </w:rPr>
        <w:t> </w:t>
      </w:r>
    </w:p>
    <w:p w14:paraId="44789FFB" w14:textId="576C0E84" w:rsidR="0072401A" w:rsidRDefault="0072401A" w:rsidP="0072401A">
      <w:pPr>
        <w:pStyle w:val="NormaleWeb"/>
        <w:shd w:val="clear" w:color="auto" w:fill="FFFFFF"/>
        <w:jc w:val="center"/>
      </w:pPr>
      <w:r>
        <w:rPr>
          <w:rFonts w:ascii="Arial" w:hAnsi="Arial" w:cs="Arial"/>
          <w:b/>
          <w:bCs/>
          <w:color w:val="000000"/>
        </w:rPr>
        <w:t>“LA GESTIONE DELLE ORGANIZZAZIONI DEL TERZO SETTORE: PROFILI GIURIDICI, FISCALI E CONTABILI”</w:t>
      </w:r>
      <w:r w:rsidR="00A47B5A">
        <w:rPr>
          <w:rFonts w:ascii="Arial" w:hAnsi="Arial" w:cs="Arial"/>
          <w:b/>
          <w:bCs/>
          <w:color w:val="000000"/>
        </w:rPr>
        <w:t xml:space="preserve">. </w:t>
      </w:r>
      <w:r>
        <w:rPr>
          <w:rFonts w:ascii="Arial" w:hAnsi="Arial" w:cs="Arial"/>
          <w:b/>
          <w:bCs/>
          <w:color w:val="000000"/>
        </w:rPr>
        <w:t>IL 10 MAGGIO AL VIA UN MASTER BREVE</w:t>
      </w:r>
    </w:p>
    <w:p w14:paraId="629E36E0" w14:textId="77777777" w:rsidR="0072401A" w:rsidRDefault="0072401A" w:rsidP="0072401A">
      <w:pPr>
        <w:pStyle w:val="NormaleWeb"/>
        <w:shd w:val="clear" w:color="auto" w:fill="FFFFFF"/>
        <w:jc w:val="center"/>
        <w:rPr>
          <w:rFonts w:ascii="Arial" w:hAnsi="Arial" w:cs="Arial"/>
          <w:b/>
          <w:bCs/>
          <w:color w:val="000000"/>
          <w:sz w:val="22"/>
          <w:szCs w:val="22"/>
        </w:rPr>
      </w:pPr>
      <w:r>
        <w:rPr>
          <w:rFonts w:ascii="Arial" w:hAnsi="Arial" w:cs="Arial"/>
          <w:b/>
          <w:bCs/>
          <w:color w:val="000000"/>
          <w:sz w:val="22"/>
          <w:szCs w:val="22"/>
        </w:rPr>
        <w:br/>
        <w:t>Un percorso formativo online organizzato da Consiglio Nazionale dei Commercialisti, CSVnet, Forum Nazionale del Terzo settore e Fondazione Nazionale Formazione dei Commercialisti per sostenere i professionisti nell’acquisizione di competenze specifiche sulla normativa di un settore che conta secondo l’Istat oltre 360mila enti.</w:t>
      </w:r>
    </w:p>
    <w:p w14:paraId="598E6386" w14:textId="77777777" w:rsidR="00BC2512" w:rsidRDefault="00BC2512" w:rsidP="0072401A">
      <w:pPr>
        <w:pStyle w:val="NormaleWeb"/>
        <w:shd w:val="clear" w:color="auto" w:fill="FFFFFF"/>
        <w:jc w:val="center"/>
        <w:rPr>
          <w:rFonts w:ascii="Arial" w:hAnsi="Arial" w:cs="Arial"/>
          <w:b/>
          <w:bCs/>
          <w:color w:val="000000"/>
          <w:sz w:val="22"/>
          <w:szCs w:val="22"/>
        </w:rPr>
      </w:pPr>
    </w:p>
    <w:p w14:paraId="6AAC0F48" w14:textId="77777777" w:rsidR="0072401A" w:rsidRDefault="0072401A" w:rsidP="0072401A">
      <w:pPr>
        <w:pStyle w:val="elementtoproof"/>
        <w:shd w:val="clear" w:color="auto" w:fill="FFFFFF"/>
        <w:jc w:val="center"/>
      </w:pPr>
      <w:r>
        <w:rPr>
          <w:rFonts w:ascii="Arial" w:hAnsi="Arial" w:cs="Arial"/>
          <w:b/>
          <w:bCs/>
          <w:color w:val="000000"/>
          <w:sz w:val="22"/>
          <w:szCs w:val="22"/>
        </w:rPr>
        <w:t>De Tavonatti e Moro: “Professionalizzazione vera sfida per tutto il non profit”</w:t>
      </w:r>
    </w:p>
    <w:p w14:paraId="65D32A2D" w14:textId="77777777" w:rsidR="0072401A" w:rsidRDefault="0072401A" w:rsidP="0072401A">
      <w:pPr>
        <w:pStyle w:val="elementtoproof"/>
        <w:shd w:val="clear" w:color="auto" w:fill="FFFFFF"/>
        <w:jc w:val="center"/>
      </w:pPr>
    </w:p>
    <w:p w14:paraId="7105E533" w14:textId="77777777" w:rsidR="0072401A" w:rsidRDefault="0072401A" w:rsidP="0072401A">
      <w:pPr>
        <w:pStyle w:val="elementtoproof"/>
        <w:shd w:val="clear" w:color="auto" w:fill="FFFFFF"/>
        <w:jc w:val="center"/>
      </w:pPr>
      <w:r>
        <w:rPr>
          <w:rFonts w:ascii="Arial" w:hAnsi="Arial" w:cs="Arial"/>
          <w:b/>
          <w:bCs/>
          <w:color w:val="000000"/>
          <w:sz w:val="22"/>
          <w:szCs w:val="22"/>
        </w:rPr>
        <w:t>Il percorso completo, che si svolgerà da maggio a dicembre 2024, prevede 76 ore di formazione. Possibile acquistare anche un modulo che comprende una sezione generale e il pacchetto “Fiscalità e bilancio” di 44 ore</w:t>
      </w:r>
    </w:p>
    <w:p w14:paraId="0A36C21A" w14:textId="77777777" w:rsidR="0072401A" w:rsidRDefault="0072401A" w:rsidP="0072401A">
      <w:pPr>
        <w:pStyle w:val="elementtoproof"/>
        <w:shd w:val="clear" w:color="auto" w:fill="FFFFFF"/>
        <w:jc w:val="center"/>
      </w:pPr>
    </w:p>
    <w:p w14:paraId="71C11A90" w14:textId="61A8C9DC" w:rsidR="0072401A" w:rsidRDefault="0072401A" w:rsidP="0072401A">
      <w:pPr>
        <w:pStyle w:val="NormaleWeb"/>
        <w:shd w:val="clear" w:color="auto" w:fill="FFFFFF"/>
        <w:jc w:val="both"/>
      </w:pPr>
      <w:r>
        <w:rPr>
          <w:rFonts w:ascii="Arial" w:hAnsi="Arial" w:cs="Arial"/>
          <w:i/>
          <w:iCs/>
          <w:color w:val="000000"/>
          <w:sz w:val="22"/>
          <w:szCs w:val="22"/>
        </w:rPr>
        <w:t xml:space="preserve">Roma, 11 aprile 2024 </w:t>
      </w:r>
      <w:r>
        <w:rPr>
          <w:rFonts w:ascii="Arial" w:hAnsi="Arial" w:cs="Arial"/>
          <w:i/>
          <w:iCs/>
          <w:color w:val="000000"/>
          <w:sz w:val="22"/>
          <w:szCs w:val="22"/>
        </w:rPr>
        <w:t>–</w:t>
      </w:r>
      <w:r>
        <w:rPr>
          <w:rFonts w:ascii="Arial" w:hAnsi="Arial" w:cs="Arial"/>
          <w:color w:val="000000"/>
          <w:sz w:val="22"/>
          <w:szCs w:val="22"/>
        </w:rPr>
        <w:t xml:space="preserve"> Prenderà il via il 10 maggio il </w:t>
      </w:r>
      <w:r>
        <w:rPr>
          <w:rFonts w:ascii="Arial" w:hAnsi="Arial" w:cs="Arial"/>
          <w:b/>
          <w:bCs/>
          <w:color w:val="000000"/>
          <w:sz w:val="22"/>
          <w:szCs w:val="22"/>
        </w:rPr>
        <w:t xml:space="preserve">master breve </w:t>
      </w:r>
      <w:r>
        <w:rPr>
          <w:rFonts w:ascii="Arial" w:hAnsi="Arial" w:cs="Arial"/>
          <w:color w:val="000000"/>
          <w:sz w:val="22"/>
          <w:szCs w:val="22"/>
        </w:rPr>
        <w:t>“</w:t>
      </w:r>
      <w:r>
        <w:rPr>
          <w:rFonts w:ascii="Arial" w:hAnsi="Arial" w:cs="Arial"/>
          <w:b/>
          <w:bCs/>
          <w:color w:val="000000"/>
          <w:sz w:val="22"/>
          <w:szCs w:val="22"/>
        </w:rPr>
        <w:t>La gestione delle organizzazioni del Terzo settore: profili giuridici, fiscali e contabili</w:t>
      </w:r>
      <w:r>
        <w:rPr>
          <w:rFonts w:ascii="Arial" w:hAnsi="Arial" w:cs="Arial"/>
          <w:color w:val="000000"/>
          <w:sz w:val="22"/>
          <w:szCs w:val="22"/>
        </w:rPr>
        <w:t xml:space="preserve">”, un percorso formativo online organizzato da Consiglio </w:t>
      </w:r>
      <w:r w:rsidR="00BE7D7C">
        <w:rPr>
          <w:rFonts w:ascii="Arial" w:hAnsi="Arial" w:cs="Arial"/>
          <w:color w:val="000000"/>
          <w:sz w:val="22"/>
          <w:szCs w:val="22"/>
        </w:rPr>
        <w:t>n</w:t>
      </w:r>
      <w:r>
        <w:rPr>
          <w:rFonts w:ascii="Arial" w:hAnsi="Arial" w:cs="Arial"/>
          <w:color w:val="000000"/>
          <w:sz w:val="22"/>
          <w:szCs w:val="22"/>
        </w:rPr>
        <w:t xml:space="preserve">azionale dei </w:t>
      </w:r>
      <w:r w:rsidR="00BE7D7C">
        <w:rPr>
          <w:rFonts w:ascii="Arial" w:hAnsi="Arial" w:cs="Arial"/>
          <w:color w:val="000000"/>
          <w:sz w:val="22"/>
          <w:szCs w:val="22"/>
        </w:rPr>
        <w:t>c</w:t>
      </w:r>
      <w:r>
        <w:rPr>
          <w:rFonts w:ascii="Arial" w:hAnsi="Arial" w:cs="Arial"/>
          <w:color w:val="000000"/>
          <w:sz w:val="22"/>
          <w:szCs w:val="22"/>
        </w:rPr>
        <w:t>ommercialisti,</w:t>
      </w:r>
      <w:r w:rsidR="00BE7D7C">
        <w:rPr>
          <w:rFonts w:ascii="Arial" w:hAnsi="Arial" w:cs="Arial"/>
          <w:color w:val="000000"/>
          <w:sz w:val="22"/>
          <w:szCs w:val="22"/>
        </w:rPr>
        <w:t xml:space="preserve"> Fondazione Nazionale Commercialisti – Formazione,</w:t>
      </w:r>
      <w:r>
        <w:rPr>
          <w:rFonts w:ascii="Arial" w:hAnsi="Arial" w:cs="Arial"/>
          <w:color w:val="000000"/>
          <w:sz w:val="22"/>
          <w:szCs w:val="22"/>
        </w:rPr>
        <w:t xml:space="preserve"> CSVnet</w:t>
      </w:r>
      <w:r w:rsidR="00BE7D7C">
        <w:rPr>
          <w:rFonts w:ascii="Arial" w:hAnsi="Arial" w:cs="Arial"/>
          <w:color w:val="000000"/>
          <w:sz w:val="22"/>
          <w:szCs w:val="22"/>
        </w:rPr>
        <w:t xml:space="preserve"> e</w:t>
      </w:r>
      <w:r>
        <w:rPr>
          <w:rFonts w:ascii="Arial" w:hAnsi="Arial" w:cs="Arial"/>
          <w:color w:val="000000"/>
          <w:sz w:val="22"/>
          <w:szCs w:val="22"/>
        </w:rPr>
        <w:t xml:space="preserve"> Forum Nazionale del Terzo settore.</w:t>
      </w:r>
    </w:p>
    <w:p w14:paraId="1824EC38" w14:textId="77777777" w:rsidR="0072401A" w:rsidRDefault="0072401A" w:rsidP="0072401A">
      <w:pPr>
        <w:pStyle w:val="NormaleWeb"/>
        <w:shd w:val="clear" w:color="auto" w:fill="FFFFFF"/>
        <w:jc w:val="both"/>
      </w:pPr>
      <w:r>
        <w:rPr>
          <w:rFonts w:ascii="Arial" w:hAnsi="Arial" w:cs="Arial"/>
          <w:color w:val="000000"/>
          <w:sz w:val="22"/>
          <w:szCs w:val="22"/>
        </w:rPr>
        <w:t> </w:t>
      </w:r>
    </w:p>
    <w:p w14:paraId="5B86D504" w14:textId="77777777" w:rsidR="0072401A" w:rsidRDefault="0072401A" w:rsidP="0072401A">
      <w:pPr>
        <w:pStyle w:val="NormaleWeb"/>
        <w:shd w:val="clear" w:color="auto" w:fill="FFFFFF"/>
        <w:jc w:val="both"/>
      </w:pPr>
      <w:r>
        <w:rPr>
          <w:rFonts w:ascii="Arial" w:hAnsi="Arial" w:cs="Arial"/>
          <w:color w:val="000000"/>
          <w:sz w:val="22"/>
          <w:szCs w:val="22"/>
        </w:rPr>
        <w:t xml:space="preserve">Il master completo, che si chiuderà a dicembre 2024, prevede </w:t>
      </w:r>
      <w:r>
        <w:rPr>
          <w:rFonts w:ascii="Arial" w:hAnsi="Arial" w:cs="Arial"/>
          <w:b/>
          <w:bCs/>
          <w:color w:val="000000"/>
          <w:sz w:val="22"/>
          <w:szCs w:val="22"/>
        </w:rPr>
        <w:t>76 ore di formazione</w:t>
      </w:r>
      <w:r>
        <w:rPr>
          <w:rFonts w:ascii="Arial" w:hAnsi="Arial" w:cs="Arial"/>
          <w:color w:val="000000"/>
          <w:sz w:val="22"/>
          <w:szCs w:val="22"/>
        </w:rPr>
        <w:t xml:space="preserve"> </w:t>
      </w:r>
      <w:r>
        <w:rPr>
          <w:rFonts w:ascii="Arial" w:hAnsi="Arial" w:cs="Arial"/>
          <w:b/>
          <w:bCs/>
          <w:color w:val="000000"/>
          <w:sz w:val="22"/>
          <w:szCs w:val="22"/>
        </w:rPr>
        <w:t>progettate per sostenere i professionisti nell’acquisizione di specifiche competenze di gestione degli enti del Terzo settore</w:t>
      </w:r>
      <w:r>
        <w:rPr>
          <w:rFonts w:ascii="Arial" w:hAnsi="Arial" w:cs="Arial"/>
          <w:color w:val="000000"/>
          <w:sz w:val="22"/>
          <w:szCs w:val="22"/>
        </w:rPr>
        <w:t>. Tra i temi trattati, l’inquadramento generale alla normativa e alle diverse tipologie di enti, il funzionamento del registro unico nazionale del Terzo settore, i regimi fiscali applicabili, il bilancio, l’amministrazione di imprese sociali, enti sportivi ed enti religiosi, ma anche le questioni collegate alla raccolta fondi e il 5 per mille, il bilancio sociale e l’organo di controllo negli Ets.</w:t>
      </w:r>
    </w:p>
    <w:p w14:paraId="5EA6EEE4" w14:textId="77777777" w:rsidR="0072401A" w:rsidRDefault="0072401A" w:rsidP="0072401A">
      <w:pPr>
        <w:pStyle w:val="NormaleWeb"/>
        <w:shd w:val="clear" w:color="auto" w:fill="FFFFFF"/>
        <w:jc w:val="both"/>
      </w:pPr>
      <w:r>
        <w:rPr>
          <w:rFonts w:ascii="Arial" w:hAnsi="Arial" w:cs="Arial"/>
          <w:color w:val="000000"/>
          <w:sz w:val="22"/>
          <w:szCs w:val="22"/>
        </w:rPr>
        <w:t> </w:t>
      </w:r>
    </w:p>
    <w:p w14:paraId="45278502" w14:textId="494B03DB" w:rsidR="0072401A" w:rsidRDefault="0072401A" w:rsidP="0072401A">
      <w:pPr>
        <w:pStyle w:val="NormaleWeb"/>
        <w:shd w:val="clear" w:color="auto" w:fill="FFFFFF"/>
        <w:jc w:val="both"/>
      </w:pPr>
      <w:r>
        <w:rPr>
          <w:rFonts w:ascii="Arial" w:hAnsi="Arial" w:cs="Arial"/>
          <w:color w:val="000000"/>
          <w:sz w:val="22"/>
          <w:szCs w:val="22"/>
        </w:rPr>
        <w:t xml:space="preserve">Per venire incontro a specifiche esigenze, inoltre, </w:t>
      </w:r>
      <w:r>
        <w:rPr>
          <w:rFonts w:ascii="Arial" w:hAnsi="Arial" w:cs="Arial"/>
          <w:b/>
          <w:bCs/>
          <w:color w:val="000000"/>
          <w:sz w:val="22"/>
          <w:szCs w:val="22"/>
        </w:rPr>
        <w:t>sarà possibile acquistare anche un pacchetto più breve di 44 ore</w:t>
      </w:r>
      <w:r>
        <w:rPr>
          <w:rFonts w:ascii="Arial" w:hAnsi="Arial" w:cs="Arial"/>
          <w:color w:val="000000"/>
          <w:sz w:val="22"/>
          <w:szCs w:val="22"/>
        </w:rPr>
        <w:t xml:space="preserve"> che comprende solo i moduli di inquadramento generale e quelli legati alla fiscalità e al bilancio. Il percorso formativo prevede il riconoscimento di CFU </w:t>
      </w:r>
      <w:r>
        <w:rPr>
          <w:rFonts w:ascii="Arial" w:hAnsi="Arial" w:cs="Arial"/>
          <w:color w:val="201F1E"/>
          <w:sz w:val="22"/>
          <w:szCs w:val="22"/>
        </w:rPr>
        <w:t xml:space="preserve">professionali e </w:t>
      </w:r>
      <w:r w:rsidR="005F09A5">
        <w:rPr>
          <w:rFonts w:ascii="Arial" w:hAnsi="Arial" w:cs="Arial"/>
          <w:color w:val="201F1E"/>
          <w:sz w:val="22"/>
          <w:szCs w:val="22"/>
        </w:rPr>
        <w:t xml:space="preserve">ha </w:t>
      </w:r>
      <w:r>
        <w:rPr>
          <w:rFonts w:ascii="Arial" w:hAnsi="Arial" w:cs="Arial"/>
          <w:color w:val="201F1E"/>
          <w:sz w:val="22"/>
          <w:szCs w:val="22"/>
        </w:rPr>
        <w:t>tra i docenti</w:t>
      </w:r>
      <w:r w:rsidR="005F09A5">
        <w:rPr>
          <w:rFonts w:ascii="Arial" w:hAnsi="Arial" w:cs="Arial"/>
          <w:color w:val="201F1E"/>
          <w:sz w:val="22"/>
          <w:szCs w:val="22"/>
        </w:rPr>
        <w:t>,</w:t>
      </w:r>
      <w:r>
        <w:rPr>
          <w:rFonts w:ascii="Arial" w:hAnsi="Arial" w:cs="Arial"/>
          <w:color w:val="201F1E"/>
          <w:sz w:val="22"/>
          <w:szCs w:val="22"/>
        </w:rPr>
        <w:t xml:space="preserve"> oltre che dottori commercialisti</w:t>
      </w:r>
      <w:r w:rsidR="005F09A5">
        <w:rPr>
          <w:rFonts w:ascii="Arial" w:hAnsi="Arial" w:cs="Arial"/>
          <w:color w:val="201F1E"/>
          <w:sz w:val="22"/>
          <w:szCs w:val="22"/>
        </w:rPr>
        <w:t>,</w:t>
      </w:r>
      <w:r>
        <w:rPr>
          <w:rFonts w:ascii="Arial" w:hAnsi="Arial" w:cs="Arial"/>
          <w:color w:val="201F1E"/>
          <w:sz w:val="22"/>
          <w:szCs w:val="22"/>
        </w:rPr>
        <w:t xml:space="preserve"> anche notai, avvocati, professori e ricercatori universitari e consulenti esperti del settore.</w:t>
      </w:r>
    </w:p>
    <w:p w14:paraId="182671F3" w14:textId="77777777" w:rsidR="0072401A" w:rsidRDefault="0072401A" w:rsidP="0072401A">
      <w:pPr>
        <w:pStyle w:val="NormaleWeb"/>
        <w:shd w:val="clear" w:color="auto" w:fill="FFFFFF"/>
        <w:jc w:val="both"/>
      </w:pPr>
      <w:r>
        <w:rPr>
          <w:rFonts w:ascii="Arial" w:hAnsi="Arial" w:cs="Arial"/>
          <w:color w:val="201F1E"/>
          <w:sz w:val="22"/>
          <w:szCs w:val="22"/>
        </w:rPr>
        <w:t> </w:t>
      </w:r>
    </w:p>
    <w:p w14:paraId="15EE310D" w14:textId="14056306" w:rsidR="0072401A" w:rsidRDefault="0072401A" w:rsidP="0072401A">
      <w:pPr>
        <w:pStyle w:val="NormaleWeb"/>
        <w:shd w:val="clear" w:color="auto" w:fill="FFFFFF"/>
        <w:jc w:val="both"/>
      </w:pPr>
      <w:r>
        <w:rPr>
          <w:rFonts w:ascii="Arial" w:hAnsi="Arial" w:cs="Arial"/>
          <w:color w:val="000000"/>
          <w:sz w:val="22"/>
          <w:szCs w:val="22"/>
        </w:rPr>
        <w:t xml:space="preserve">“Con questo master – spiegano il Vicepresidente </w:t>
      </w:r>
      <w:r w:rsidR="005F09A5">
        <w:rPr>
          <w:rFonts w:ascii="Arial" w:hAnsi="Arial" w:cs="Arial"/>
          <w:color w:val="000000"/>
          <w:sz w:val="22"/>
          <w:szCs w:val="22"/>
        </w:rPr>
        <w:t xml:space="preserve">e il consigliere nazionali dei </w:t>
      </w:r>
      <w:r>
        <w:rPr>
          <w:rFonts w:ascii="Arial" w:hAnsi="Arial" w:cs="Arial"/>
          <w:color w:val="000000"/>
          <w:sz w:val="22"/>
          <w:szCs w:val="22"/>
        </w:rPr>
        <w:t xml:space="preserve">commercialisti </w:t>
      </w:r>
      <w:r>
        <w:rPr>
          <w:rFonts w:ascii="Arial" w:hAnsi="Arial" w:cs="Arial"/>
          <w:b/>
          <w:bCs/>
          <w:color w:val="000000"/>
          <w:sz w:val="22"/>
          <w:szCs w:val="22"/>
        </w:rPr>
        <w:t>Michele de Tavonatti</w:t>
      </w:r>
      <w:r>
        <w:rPr>
          <w:rFonts w:ascii="Arial" w:hAnsi="Arial" w:cs="Arial"/>
          <w:color w:val="000000"/>
          <w:sz w:val="22"/>
          <w:szCs w:val="22"/>
        </w:rPr>
        <w:t xml:space="preserve"> e </w:t>
      </w:r>
      <w:r>
        <w:rPr>
          <w:rFonts w:ascii="Arial" w:hAnsi="Arial" w:cs="Arial"/>
          <w:b/>
          <w:bCs/>
          <w:color w:val="000000"/>
          <w:sz w:val="22"/>
          <w:szCs w:val="22"/>
        </w:rPr>
        <w:t>David Moro</w:t>
      </w:r>
      <w:r>
        <w:rPr>
          <w:rFonts w:ascii="Arial" w:hAnsi="Arial" w:cs="Arial"/>
          <w:color w:val="000000"/>
          <w:sz w:val="22"/>
          <w:szCs w:val="22"/>
        </w:rPr>
        <w:t>, entrambi delegati alla materia –</w:t>
      </w:r>
      <w:r w:rsidR="005F09A5">
        <w:rPr>
          <w:rFonts w:ascii="Arial" w:hAnsi="Arial" w:cs="Arial"/>
          <w:color w:val="000000"/>
          <w:sz w:val="22"/>
          <w:szCs w:val="22"/>
        </w:rPr>
        <w:t>, i</w:t>
      </w:r>
      <w:r>
        <w:rPr>
          <w:rFonts w:ascii="Arial" w:hAnsi="Arial" w:cs="Arial"/>
          <w:color w:val="000000"/>
          <w:sz w:val="22"/>
          <w:szCs w:val="22"/>
        </w:rPr>
        <w:t>l Consiglio nazionale si è fatto promotore di una iniziativa rivolta ai suoi iscritti, affinché cresca sempre più il loro livello di qualificazione in questo ambito di attività. Siamo convinti che, dopo la riforma, il vero salto di qualità per il mondo del non profit si realizzerà soprattutto grazie a forti processi di professionalizzazione di tutti i soggetti in campo. Un aspetto, questo, sul quale il Consiglio nazionale è molto impegnato e di cui questo master rappresenta un tassello significativo”.</w:t>
      </w:r>
    </w:p>
    <w:p w14:paraId="6DDC74EB" w14:textId="77777777" w:rsidR="0072401A" w:rsidRDefault="0072401A" w:rsidP="0072401A">
      <w:pPr>
        <w:pStyle w:val="NormaleWeb"/>
        <w:shd w:val="clear" w:color="auto" w:fill="FFFFFF"/>
        <w:jc w:val="both"/>
      </w:pPr>
      <w:r>
        <w:rPr>
          <w:rFonts w:ascii="Arial" w:hAnsi="Arial" w:cs="Arial"/>
          <w:color w:val="000000"/>
          <w:sz w:val="22"/>
          <w:szCs w:val="22"/>
        </w:rPr>
        <w:t> </w:t>
      </w:r>
    </w:p>
    <w:p w14:paraId="05D2F02E" w14:textId="7D39CC2B" w:rsidR="00DB0FE6" w:rsidRPr="004B6460" w:rsidRDefault="0072401A" w:rsidP="00A47B5A">
      <w:pPr>
        <w:pStyle w:val="NormaleWeb"/>
        <w:shd w:val="clear" w:color="auto" w:fill="FFFFFF"/>
        <w:jc w:val="both"/>
        <w:rPr>
          <w:rFonts w:ascii="Arial" w:hAnsi="Arial" w:cs="Arial"/>
          <w:color w:val="000000"/>
          <w:sz w:val="23"/>
          <w:szCs w:val="23"/>
        </w:rPr>
      </w:pPr>
      <w:r>
        <w:rPr>
          <w:rFonts w:ascii="Arial" w:hAnsi="Arial" w:cs="Arial"/>
          <w:color w:val="000000"/>
          <w:sz w:val="22"/>
          <w:szCs w:val="22"/>
        </w:rPr>
        <w:t>L’esigenza di un percorso formativo strutturato sulla gestione degli enti del Terzo settore si è consolidata negli ultimi anni, anche grazie al trend positivo di crescita del non profit in Italia</w:t>
      </w:r>
      <w:r w:rsidR="005F09A5">
        <w:rPr>
          <w:rFonts w:ascii="Arial" w:hAnsi="Arial" w:cs="Arial"/>
          <w:color w:val="000000"/>
          <w:sz w:val="22"/>
          <w:szCs w:val="22"/>
        </w:rPr>
        <w:t>.</w:t>
      </w:r>
      <w:r>
        <w:rPr>
          <w:rFonts w:ascii="Arial" w:hAnsi="Arial" w:cs="Arial"/>
          <w:color w:val="000000"/>
          <w:sz w:val="22"/>
          <w:szCs w:val="22"/>
        </w:rPr>
        <w:t xml:space="preserve"> Secondo i dati del </w:t>
      </w:r>
      <w:r>
        <w:rPr>
          <w:rFonts w:ascii="Arial" w:hAnsi="Arial" w:cs="Arial"/>
          <w:b/>
          <w:bCs/>
          <w:color w:val="000000"/>
          <w:sz w:val="22"/>
          <w:szCs w:val="22"/>
        </w:rPr>
        <w:t>Censimento permanente delle istituzioni non profit dell’Istat</w:t>
      </w:r>
      <w:r>
        <w:rPr>
          <w:rFonts w:ascii="Arial" w:hAnsi="Arial" w:cs="Arial"/>
          <w:color w:val="000000"/>
          <w:sz w:val="22"/>
          <w:szCs w:val="22"/>
        </w:rPr>
        <w:t xml:space="preserve">, infatti, </w:t>
      </w:r>
      <w:r>
        <w:rPr>
          <w:rFonts w:ascii="Arial" w:hAnsi="Arial" w:cs="Arial"/>
          <w:b/>
          <w:bCs/>
          <w:color w:val="000000"/>
          <w:sz w:val="22"/>
          <w:szCs w:val="22"/>
        </w:rPr>
        <w:t>nel 2020 si contavano oltre 360mila organizzazioni attive</w:t>
      </w:r>
      <w:r>
        <w:rPr>
          <w:rFonts w:ascii="Arial" w:hAnsi="Arial" w:cs="Arial"/>
          <w:color w:val="000000"/>
          <w:sz w:val="22"/>
          <w:szCs w:val="22"/>
        </w:rPr>
        <w:t>, mentre nel 2001 era</w:t>
      </w:r>
      <w:r w:rsidR="005F09A5">
        <w:rPr>
          <w:rFonts w:ascii="Arial" w:hAnsi="Arial" w:cs="Arial"/>
          <w:color w:val="000000"/>
          <w:sz w:val="22"/>
          <w:szCs w:val="22"/>
        </w:rPr>
        <w:t>no</w:t>
      </w:r>
      <w:r>
        <w:rPr>
          <w:rFonts w:ascii="Arial" w:hAnsi="Arial" w:cs="Arial"/>
          <w:color w:val="000000"/>
          <w:sz w:val="22"/>
          <w:szCs w:val="22"/>
        </w:rPr>
        <w:t xml:space="preserve"> circa 235mila. Con la riforma del Terzo settore avviata nel 2017 e, in particolare, con l’operatività nel 2021 del registro unico nazionale del Terzo settore, l’assetto normativo è a regime, a esclusione degli aspetti fiscali su cui si attende l’autorizzazione della Commissione europea. Servono quindi competenze specifiche per sostenere un settore in espansione che tende a strutturarsi sempre di più, ma anche un aggiornamento continuo considerando che il diritto del Terzo settore è in piena evoluzione.</w:t>
      </w:r>
    </w:p>
    <w:sectPr w:rsidR="00DB0FE6" w:rsidRPr="004B6460">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47AC" w14:textId="77777777" w:rsidR="00A169AB" w:rsidRDefault="00A169AB" w:rsidP="0053767A">
      <w:r>
        <w:separator/>
      </w:r>
    </w:p>
  </w:endnote>
  <w:endnote w:type="continuationSeparator" w:id="0">
    <w:p w14:paraId="79E34D4F" w14:textId="77777777" w:rsidR="00A169AB" w:rsidRDefault="00A169AB" w:rsidP="0053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E8F3" w14:textId="77777777" w:rsidR="00A169AB" w:rsidRDefault="00A169AB" w:rsidP="0053767A">
      <w:r>
        <w:separator/>
      </w:r>
    </w:p>
  </w:footnote>
  <w:footnote w:type="continuationSeparator" w:id="0">
    <w:p w14:paraId="2D93EA21" w14:textId="77777777" w:rsidR="00A169AB" w:rsidRDefault="00A169AB" w:rsidP="00537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FCF04" w14:textId="137E3C70" w:rsidR="0053767A" w:rsidRDefault="0053767A" w:rsidP="0053767A">
    <w:pPr>
      <w:pStyle w:val="Intestazione"/>
      <w:jc w:val="center"/>
    </w:pPr>
    <w:r>
      <w:rPr>
        <w:noProof/>
      </w:rPr>
      <w:drawing>
        <wp:inline distT="0" distB="0" distL="0" distR="0" wp14:anchorId="6CE15400" wp14:editId="1B607080">
          <wp:extent cx="2493645" cy="847090"/>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NDCEC"/>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45" cy="84709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AD7"/>
    <w:rsid w:val="0000607D"/>
    <w:rsid w:val="00124B6E"/>
    <w:rsid w:val="00132A25"/>
    <w:rsid w:val="00152D89"/>
    <w:rsid w:val="001A0459"/>
    <w:rsid w:val="00204DB5"/>
    <w:rsid w:val="002502F4"/>
    <w:rsid w:val="00254D79"/>
    <w:rsid w:val="00265B97"/>
    <w:rsid w:val="0027447A"/>
    <w:rsid w:val="00287CAA"/>
    <w:rsid w:val="002C046C"/>
    <w:rsid w:val="002E3353"/>
    <w:rsid w:val="002E3933"/>
    <w:rsid w:val="00336A78"/>
    <w:rsid w:val="003407A8"/>
    <w:rsid w:val="003B6CF5"/>
    <w:rsid w:val="003C1C09"/>
    <w:rsid w:val="003C66A9"/>
    <w:rsid w:val="003D5A57"/>
    <w:rsid w:val="003E6C43"/>
    <w:rsid w:val="00402D0F"/>
    <w:rsid w:val="0040487B"/>
    <w:rsid w:val="0042652A"/>
    <w:rsid w:val="0043677A"/>
    <w:rsid w:val="00450573"/>
    <w:rsid w:val="00450DF1"/>
    <w:rsid w:val="00464615"/>
    <w:rsid w:val="004B3E6D"/>
    <w:rsid w:val="004B52B8"/>
    <w:rsid w:val="004B6460"/>
    <w:rsid w:val="004C73FD"/>
    <w:rsid w:val="005323A8"/>
    <w:rsid w:val="0053767A"/>
    <w:rsid w:val="00587889"/>
    <w:rsid w:val="005A6576"/>
    <w:rsid w:val="005F09A5"/>
    <w:rsid w:val="0065054B"/>
    <w:rsid w:val="006664F3"/>
    <w:rsid w:val="00683387"/>
    <w:rsid w:val="00686343"/>
    <w:rsid w:val="006928E0"/>
    <w:rsid w:val="006B1EB0"/>
    <w:rsid w:val="006B222B"/>
    <w:rsid w:val="006B3E6A"/>
    <w:rsid w:val="006F1005"/>
    <w:rsid w:val="006F39E8"/>
    <w:rsid w:val="0072401A"/>
    <w:rsid w:val="00731085"/>
    <w:rsid w:val="007C336D"/>
    <w:rsid w:val="007E017B"/>
    <w:rsid w:val="0081776A"/>
    <w:rsid w:val="0084198B"/>
    <w:rsid w:val="008643F7"/>
    <w:rsid w:val="0087548C"/>
    <w:rsid w:val="00875577"/>
    <w:rsid w:val="008B0AD7"/>
    <w:rsid w:val="008C22FF"/>
    <w:rsid w:val="008D4C55"/>
    <w:rsid w:val="008E4C2D"/>
    <w:rsid w:val="00921C2C"/>
    <w:rsid w:val="009577EA"/>
    <w:rsid w:val="009657C6"/>
    <w:rsid w:val="009D7B0D"/>
    <w:rsid w:val="009F5AF0"/>
    <w:rsid w:val="00A169AB"/>
    <w:rsid w:val="00A46128"/>
    <w:rsid w:val="00A47B5A"/>
    <w:rsid w:val="00A501AA"/>
    <w:rsid w:val="00A9065C"/>
    <w:rsid w:val="00B6559A"/>
    <w:rsid w:val="00BC2512"/>
    <w:rsid w:val="00BD067F"/>
    <w:rsid w:val="00BE7D7C"/>
    <w:rsid w:val="00C065BA"/>
    <w:rsid w:val="00C610A8"/>
    <w:rsid w:val="00D11F59"/>
    <w:rsid w:val="00D729BE"/>
    <w:rsid w:val="00D92D7B"/>
    <w:rsid w:val="00DB0FE6"/>
    <w:rsid w:val="00DC46DB"/>
    <w:rsid w:val="00E339D8"/>
    <w:rsid w:val="00E5193A"/>
    <w:rsid w:val="00E730CE"/>
    <w:rsid w:val="00E9381D"/>
    <w:rsid w:val="00FA6626"/>
    <w:rsid w:val="00FB30D0"/>
    <w:rsid w:val="00FB414A"/>
    <w:rsid w:val="00FE32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CE167"/>
  <w15:chartTrackingRefBased/>
  <w15:docId w15:val="{E736ABF5-AE2F-45F8-A7AE-AFAF391E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AD7"/>
    <w:pPr>
      <w:spacing w:after="0" w:line="240" w:lineRule="auto"/>
    </w:pPr>
    <w:rPr>
      <w:rFonts w:ascii="Times New Roman" w:eastAsia="Times New Roman" w:hAnsi="Times New Roman" w:cs="Times New Roman"/>
      <w:kern w:val="0"/>
      <w:sz w:val="20"/>
      <w:szCs w:val="20"/>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rsid w:val="008B0AD7"/>
    <w:rPr>
      <w:rFonts w:cs="Times New Roman"/>
      <w:color w:val="0000FF"/>
      <w:u w:val="single"/>
    </w:rPr>
  </w:style>
  <w:style w:type="character" w:styleId="Collegamentovisitato">
    <w:name w:val="FollowedHyperlink"/>
    <w:basedOn w:val="Carpredefinitoparagrafo"/>
    <w:uiPriority w:val="99"/>
    <w:semiHidden/>
    <w:unhideWhenUsed/>
    <w:rsid w:val="008B0AD7"/>
    <w:rPr>
      <w:color w:val="954F72" w:themeColor="followedHyperlink"/>
      <w:u w:val="single"/>
    </w:rPr>
  </w:style>
  <w:style w:type="paragraph" w:styleId="Intestazione">
    <w:name w:val="header"/>
    <w:basedOn w:val="Normale"/>
    <w:link w:val="IntestazioneCarattere"/>
    <w:uiPriority w:val="99"/>
    <w:unhideWhenUsed/>
    <w:rsid w:val="0053767A"/>
    <w:pPr>
      <w:tabs>
        <w:tab w:val="center" w:pos="4819"/>
        <w:tab w:val="right" w:pos="9638"/>
      </w:tabs>
    </w:pPr>
  </w:style>
  <w:style w:type="character" w:customStyle="1" w:styleId="IntestazioneCarattere">
    <w:name w:val="Intestazione Carattere"/>
    <w:basedOn w:val="Carpredefinitoparagrafo"/>
    <w:link w:val="Intestazione"/>
    <w:uiPriority w:val="99"/>
    <w:rsid w:val="0053767A"/>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53767A"/>
    <w:pPr>
      <w:tabs>
        <w:tab w:val="center" w:pos="4819"/>
        <w:tab w:val="right" w:pos="9638"/>
      </w:tabs>
    </w:pPr>
  </w:style>
  <w:style w:type="character" w:customStyle="1" w:styleId="PidipaginaCarattere">
    <w:name w:val="Piè di pagina Carattere"/>
    <w:basedOn w:val="Carpredefinitoparagrafo"/>
    <w:link w:val="Pidipagina"/>
    <w:uiPriority w:val="99"/>
    <w:rsid w:val="0053767A"/>
    <w:rPr>
      <w:rFonts w:ascii="Times New Roman" w:eastAsia="Times New Roman" w:hAnsi="Times New Roman" w:cs="Times New Roman"/>
      <w:kern w:val="0"/>
      <w:sz w:val="20"/>
      <w:szCs w:val="20"/>
      <w:lang w:eastAsia="it-IT"/>
      <w14:ligatures w14:val="none"/>
    </w:rPr>
  </w:style>
  <w:style w:type="paragraph" w:styleId="NormaleWeb">
    <w:name w:val="Normal (Web)"/>
    <w:basedOn w:val="Normale"/>
    <w:uiPriority w:val="99"/>
    <w:unhideWhenUsed/>
    <w:rsid w:val="00FE3235"/>
    <w:rPr>
      <w:sz w:val="24"/>
      <w:szCs w:val="24"/>
    </w:rPr>
  </w:style>
  <w:style w:type="character" w:styleId="Menzionenonrisolta">
    <w:name w:val="Unresolved Mention"/>
    <w:basedOn w:val="Carpredefinitoparagrafo"/>
    <w:uiPriority w:val="99"/>
    <w:semiHidden/>
    <w:unhideWhenUsed/>
    <w:rsid w:val="00FE3235"/>
    <w:rPr>
      <w:color w:val="605E5C"/>
      <w:shd w:val="clear" w:color="auto" w:fill="E1DFDD"/>
    </w:rPr>
  </w:style>
  <w:style w:type="paragraph" w:customStyle="1" w:styleId="elementtoproof">
    <w:name w:val="elementtoproof"/>
    <w:basedOn w:val="Normale"/>
    <w:uiPriority w:val="99"/>
    <w:semiHidden/>
    <w:rsid w:val="007E017B"/>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57670">
      <w:bodyDiv w:val="1"/>
      <w:marLeft w:val="0"/>
      <w:marRight w:val="0"/>
      <w:marTop w:val="0"/>
      <w:marBottom w:val="0"/>
      <w:divBdr>
        <w:top w:val="none" w:sz="0" w:space="0" w:color="auto"/>
        <w:left w:val="none" w:sz="0" w:space="0" w:color="auto"/>
        <w:bottom w:val="none" w:sz="0" w:space="0" w:color="auto"/>
        <w:right w:val="none" w:sz="0" w:space="0" w:color="auto"/>
      </w:divBdr>
    </w:div>
    <w:div w:id="1025903145">
      <w:bodyDiv w:val="1"/>
      <w:marLeft w:val="0"/>
      <w:marRight w:val="0"/>
      <w:marTop w:val="0"/>
      <w:marBottom w:val="0"/>
      <w:divBdr>
        <w:top w:val="none" w:sz="0" w:space="0" w:color="auto"/>
        <w:left w:val="none" w:sz="0" w:space="0" w:color="auto"/>
        <w:bottom w:val="none" w:sz="0" w:space="0" w:color="auto"/>
        <w:right w:val="none" w:sz="0" w:space="0" w:color="auto"/>
      </w:divBdr>
    </w:div>
    <w:div w:id="1625113799">
      <w:bodyDiv w:val="1"/>
      <w:marLeft w:val="0"/>
      <w:marRight w:val="0"/>
      <w:marTop w:val="0"/>
      <w:marBottom w:val="0"/>
      <w:divBdr>
        <w:top w:val="none" w:sz="0" w:space="0" w:color="auto"/>
        <w:left w:val="none" w:sz="0" w:space="0" w:color="auto"/>
        <w:bottom w:val="none" w:sz="0" w:space="0" w:color="auto"/>
        <w:right w:val="none" w:sz="0" w:space="0" w:color="auto"/>
      </w:divBdr>
    </w:div>
    <w:div w:id="195031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554</Words>
  <Characters>3164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70</cp:revision>
  <dcterms:created xsi:type="dcterms:W3CDTF">2024-03-12T08:10:00Z</dcterms:created>
  <dcterms:modified xsi:type="dcterms:W3CDTF">2024-04-11T10:41:00Z</dcterms:modified>
</cp:coreProperties>
</file>